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40" w:lineRule="exact"/>
        <w:jc w:val="left"/>
        <w:textAlignment w:val="auto"/>
        <w:rPr>
          <w:rFonts w:hint="eastAsia" w:ascii="Times New Roman" w:hAnsi="Times New Roman" w:eastAsia="仿宋_GB2312"/>
          <w:sz w:val="32"/>
          <w:szCs w:val="32"/>
        </w:rPr>
      </w:pPr>
    </w:p>
    <w:p>
      <w:pPr>
        <w:keepNext w:val="0"/>
        <w:keepLines w:val="0"/>
        <w:pageBreakBefore w:val="0"/>
        <w:kinsoku/>
        <w:wordWrap/>
        <w:overflowPunct/>
        <w:topLinePunct w:val="0"/>
        <w:autoSpaceDE/>
        <w:autoSpaceDN/>
        <w:bidi w:val="0"/>
        <w:adjustRightInd/>
        <w:snapToGrid/>
        <w:spacing w:before="0" w:beforeLines="0" w:after="0" w:afterLines="0" w:line="640" w:lineRule="exact"/>
        <w:ind w:left="0" w:leftChars="0" w:right="0" w:rightChars="0"/>
        <w:jc w:val="center"/>
        <w:textAlignment w:val="auto"/>
        <w:rPr>
          <w:rFonts w:hint="eastAsia" w:asciiTheme="majorEastAsia" w:hAnsiTheme="majorEastAsia" w:eastAsiaTheme="majorEastAsia" w:cstheme="majorEastAsia"/>
          <w:b/>
          <w:bCs/>
          <w:spacing w:val="0"/>
          <w:sz w:val="44"/>
          <w:szCs w:val="20"/>
          <w:lang w:val="en-US" w:eastAsia="zh-CN"/>
        </w:rPr>
      </w:pPr>
      <w:bookmarkStart w:id="0" w:name="_GoBack"/>
      <w:r>
        <w:rPr>
          <w:rFonts w:hint="eastAsia" w:asciiTheme="majorEastAsia" w:hAnsiTheme="majorEastAsia" w:eastAsiaTheme="majorEastAsia" w:cstheme="majorEastAsia"/>
          <w:b/>
          <w:bCs/>
          <w:spacing w:val="0"/>
          <w:sz w:val="44"/>
          <w:szCs w:val="20"/>
          <w:lang w:val="en-US" w:eastAsia="zh-CN"/>
        </w:rPr>
        <w:t>湖南省人民政府</w:t>
      </w:r>
      <w:r>
        <w:rPr>
          <w:rFonts w:hint="default" w:ascii="Times New Roman" w:hAnsi="Times New Roman" w:cs="Times New Roman" w:eastAsiaTheme="majorEastAsia"/>
          <w:b/>
          <w:bCs/>
          <w:spacing w:val="0"/>
          <w:sz w:val="44"/>
          <w:szCs w:val="20"/>
          <w:lang w:val="en-US" w:eastAsia="zh-CN"/>
        </w:rPr>
        <w:t>2022</w:t>
      </w:r>
      <w:r>
        <w:rPr>
          <w:rFonts w:hint="eastAsia" w:asciiTheme="majorEastAsia" w:hAnsiTheme="majorEastAsia" w:eastAsiaTheme="majorEastAsia" w:cstheme="majorEastAsia"/>
          <w:b/>
          <w:bCs/>
          <w:spacing w:val="0"/>
          <w:sz w:val="44"/>
          <w:szCs w:val="20"/>
          <w:lang w:val="en-US" w:eastAsia="zh-CN"/>
        </w:rPr>
        <w:t>年度政府信息公开</w:t>
      </w:r>
    </w:p>
    <w:p>
      <w:pPr>
        <w:keepNext w:val="0"/>
        <w:keepLines w:val="0"/>
        <w:pageBreakBefore w:val="0"/>
        <w:kinsoku/>
        <w:wordWrap/>
        <w:overflowPunct/>
        <w:topLinePunct w:val="0"/>
        <w:autoSpaceDE/>
        <w:autoSpaceDN/>
        <w:bidi w:val="0"/>
        <w:adjustRightInd/>
        <w:snapToGrid/>
        <w:spacing w:before="0" w:beforeLines="0" w:after="0" w:afterLines="0" w:line="640" w:lineRule="exact"/>
        <w:ind w:left="0" w:leftChars="0" w:right="0" w:rightChars="0"/>
        <w:jc w:val="center"/>
        <w:textAlignment w:val="auto"/>
        <w:rPr>
          <w:rFonts w:hint="eastAsia" w:asciiTheme="majorEastAsia" w:hAnsiTheme="majorEastAsia" w:eastAsiaTheme="majorEastAsia" w:cstheme="majorEastAsia"/>
          <w:b/>
          <w:bCs/>
          <w:spacing w:val="0"/>
          <w:sz w:val="44"/>
          <w:szCs w:val="20"/>
          <w:lang w:val="en-US" w:eastAsia="zh-CN"/>
        </w:rPr>
      </w:pPr>
      <w:r>
        <w:rPr>
          <w:rFonts w:hint="eastAsia" w:asciiTheme="majorEastAsia" w:hAnsiTheme="majorEastAsia" w:eastAsiaTheme="majorEastAsia" w:cstheme="majorEastAsia"/>
          <w:b/>
          <w:bCs/>
          <w:spacing w:val="0"/>
          <w:sz w:val="44"/>
          <w:szCs w:val="20"/>
          <w:lang w:val="en-US" w:eastAsia="zh-CN"/>
        </w:rPr>
        <w:t>工作报告</w:t>
      </w:r>
    </w:p>
    <w:bookmarkEnd w:id="0"/>
    <w:p>
      <w:pPr>
        <w:keepNext w:val="0"/>
        <w:keepLines w:val="0"/>
        <w:pageBreakBefore w:val="0"/>
        <w:widowControl/>
        <w:suppressLineNumbers w:val="0"/>
        <w:kinsoku/>
        <w:wordWrap/>
        <w:overflowPunct/>
        <w:topLinePunct w:val="0"/>
        <w:autoSpaceDE/>
        <w:autoSpaceDN/>
        <w:bidi w:val="0"/>
        <w:adjustRightInd/>
        <w:snapToGrid/>
        <w:spacing w:line="640" w:lineRule="exact"/>
        <w:jc w:val="left"/>
        <w:textAlignment w:val="auto"/>
        <w:rPr>
          <w:rFonts w:hint="default" w:ascii="Times New Roman" w:hAnsi="Times New Roman" w:eastAsia="仿宋_GB2312"/>
          <w:sz w:val="32"/>
          <w:szCs w:val="32"/>
        </w:rPr>
      </w:pPr>
    </w:p>
    <w:p>
      <w:pPr>
        <w:keepNext w:val="0"/>
        <w:keepLines w:val="0"/>
        <w:pageBreakBefore w:val="0"/>
        <w:widowControl/>
        <w:suppressLineNumbers w:val="0"/>
        <w:kinsoku/>
        <w:wordWrap/>
        <w:overflowPunct/>
        <w:topLinePunct w:val="0"/>
        <w:autoSpaceDE/>
        <w:autoSpaceDN/>
        <w:bidi w:val="0"/>
        <w:adjustRightInd/>
        <w:snapToGrid/>
        <w:spacing w:line="640" w:lineRule="exact"/>
        <w:ind w:firstLine="720" w:firstLineChars="200"/>
        <w:jc w:val="both"/>
        <w:textAlignment w:val="auto"/>
        <w:rPr>
          <w:rFonts w:hint="eastAsia" w:ascii="Times New Roman" w:hAnsi="Times New Roman" w:eastAsia="仿宋_GB2312"/>
          <w:sz w:val="36"/>
          <w:szCs w:val="36"/>
        </w:rPr>
      </w:pPr>
      <w:r>
        <w:rPr>
          <w:rFonts w:hint="eastAsia" w:ascii="Times New Roman" w:hAnsi="Times New Roman" w:eastAsia="仿宋_GB2312"/>
          <w:sz w:val="36"/>
          <w:szCs w:val="36"/>
          <w:lang w:val="en-US" w:eastAsia="zh-CN"/>
        </w:rPr>
        <w:t>根据《中华人民共和国政府信息公开条例》（国务院令第711号）规定，</w:t>
      </w:r>
      <w:r>
        <w:rPr>
          <w:rFonts w:hint="eastAsia" w:ascii="Times New Roman" w:hAnsi="Times New Roman" w:eastAsia="仿宋_GB2312"/>
          <w:sz w:val="36"/>
          <w:szCs w:val="36"/>
          <w:lang w:eastAsia="zh-CN"/>
        </w:rPr>
        <w:t>以及</w:t>
      </w:r>
      <w:r>
        <w:rPr>
          <w:rFonts w:hint="eastAsia" w:ascii="Times New Roman" w:hAnsi="Times New Roman" w:eastAsia="仿宋_GB2312"/>
          <w:sz w:val="36"/>
          <w:szCs w:val="36"/>
        </w:rPr>
        <w:t>《国务院办公厅政府信息与政务公开办公室关于印发〈中华人民共和国政府信息公开工作年度报告格式〉的通知》</w:t>
      </w:r>
      <w:r>
        <w:rPr>
          <w:rFonts w:hint="eastAsia" w:ascii="Times New Roman" w:hAnsi="Times New Roman" w:eastAsia="仿宋_GB2312"/>
          <w:sz w:val="36"/>
          <w:szCs w:val="36"/>
          <w:lang w:eastAsia="zh-CN"/>
        </w:rPr>
        <w:t>（</w:t>
      </w:r>
      <w:r>
        <w:rPr>
          <w:rFonts w:hint="eastAsia" w:ascii="Times New Roman" w:hAnsi="Times New Roman" w:eastAsia="仿宋_GB2312"/>
          <w:sz w:val="36"/>
          <w:szCs w:val="36"/>
        </w:rPr>
        <w:t>国办公开办函〔2021〕30号</w:t>
      </w:r>
      <w:r>
        <w:rPr>
          <w:rFonts w:hint="eastAsia" w:ascii="Times New Roman" w:hAnsi="Times New Roman" w:eastAsia="仿宋_GB2312"/>
          <w:sz w:val="36"/>
          <w:szCs w:val="36"/>
          <w:lang w:eastAsia="zh-CN"/>
        </w:rPr>
        <w:t>）要求</w:t>
      </w:r>
      <w:r>
        <w:rPr>
          <w:rFonts w:hint="eastAsia" w:ascii="Times New Roman" w:hAnsi="Times New Roman" w:eastAsia="仿宋_GB2312"/>
          <w:sz w:val="36"/>
          <w:szCs w:val="36"/>
        </w:rPr>
        <w:t>，</w:t>
      </w:r>
      <w:r>
        <w:rPr>
          <w:rFonts w:hint="eastAsia" w:ascii="Times New Roman" w:hAnsi="Times New Roman" w:eastAsia="仿宋_GB2312"/>
          <w:sz w:val="36"/>
          <w:szCs w:val="36"/>
          <w:lang w:val="en-US" w:eastAsia="zh-CN"/>
        </w:rPr>
        <w:t>现将湖南省人民政府2022年度政府信息公开工作报告如下：</w:t>
      </w:r>
    </w:p>
    <w:p>
      <w:pPr>
        <w:keepNext w:val="0"/>
        <w:keepLines w:val="0"/>
        <w:pageBreakBefore w:val="0"/>
        <w:widowControl/>
        <w:suppressLineNumbers w:val="0"/>
        <w:kinsoku/>
        <w:wordWrap/>
        <w:overflowPunct/>
        <w:topLinePunct w:val="0"/>
        <w:autoSpaceDE/>
        <w:autoSpaceDN/>
        <w:bidi w:val="0"/>
        <w:adjustRightInd/>
        <w:snapToGrid/>
        <w:spacing w:line="640" w:lineRule="exact"/>
        <w:ind w:firstLine="720" w:firstLineChars="200"/>
        <w:jc w:val="both"/>
        <w:textAlignment w:val="auto"/>
        <w:rPr>
          <w:rFonts w:hint="eastAsia" w:ascii="黑体" w:hAnsi="黑体" w:eastAsia="黑体" w:cs="黑体"/>
          <w:sz w:val="36"/>
          <w:szCs w:val="36"/>
          <w:lang w:eastAsia="zh-CN"/>
        </w:rPr>
      </w:pPr>
      <w:r>
        <w:rPr>
          <w:rFonts w:hint="eastAsia" w:ascii="黑体" w:hAnsi="黑体" w:eastAsia="黑体" w:cs="黑体"/>
          <w:sz w:val="36"/>
          <w:szCs w:val="36"/>
          <w:lang w:eastAsia="zh-CN"/>
        </w:rPr>
        <w:t>一、总体情况</w:t>
      </w:r>
    </w:p>
    <w:p>
      <w:pPr>
        <w:pStyle w:val="2"/>
        <w:keepNext w:val="0"/>
        <w:keepLines w:val="0"/>
        <w:pageBreakBefore w:val="0"/>
        <w:kinsoku/>
        <w:wordWrap/>
        <w:overflowPunct/>
        <w:topLinePunct w:val="0"/>
        <w:autoSpaceDE/>
        <w:autoSpaceDN/>
        <w:bidi w:val="0"/>
        <w:adjustRightInd/>
        <w:snapToGrid/>
        <w:spacing w:line="640" w:lineRule="exact"/>
        <w:textAlignment w:val="auto"/>
        <w:rPr>
          <w:rFonts w:hint="eastAsia" w:eastAsia="仿宋_GB2312" w:cs="Times New Roman"/>
          <w:color w:val="auto"/>
          <w:spacing w:val="0"/>
          <w:sz w:val="36"/>
          <w:szCs w:val="36"/>
          <w:highlight w:val="none"/>
          <w:lang w:val="en-US" w:eastAsia="zh-CN"/>
        </w:rPr>
      </w:pPr>
      <w:r>
        <w:rPr>
          <w:rFonts w:hint="eastAsia" w:ascii="Times New Roman" w:hAnsi="Times New Roman" w:eastAsia="仿宋_GB2312"/>
          <w:color w:val="auto"/>
          <w:sz w:val="36"/>
          <w:szCs w:val="36"/>
          <w:highlight w:val="none"/>
          <w:lang w:val="en-US" w:eastAsia="zh-CN"/>
        </w:rPr>
        <w:t>2022</w:t>
      </w:r>
      <w:r>
        <w:rPr>
          <w:rFonts w:hint="eastAsia" w:eastAsia="仿宋_GB2312" w:cs="Times New Roman"/>
          <w:color w:val="auto"/>
          <w:spacing w:val="0"/>
          <w:sz w:val="36"/>
          <w:szCs w:val="36"/>
          <w:highlight w:val="none"/>
          <w:lang w:val="en-US" w:eastAsia="zh-CN"/>
        </w:rPr>
        <w:t>年，全省各级各部门深入学习贯彻党的二十大精神，紧紧围绕党中央、国务院决策部署和省委、省政府工作要求，全力服务“三高四新”战略定位和使命任务，不断提升政务公开的含金量、覆盖面和参与度，持续发挥以公开促落实、强监管功能，取得了积极成效。</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723" w:firstLineChars="200"/>
        <w:textAlignment w:val="auto"/>
        <w:rPr>
          <w:rFonts w:hint="eastAsia" w:ascii="Times New Roman" w:hAnsi="Times New Roman" w:eastAsia="仿宋_GB2312"/>
          <w:strike/>
          <w:dstrike w:val="0"/>
          <w:sz w:val="36"/>
          <w:szCs w:val="36"/>
          <w:lang w:eastAsia="zh-CN"/>
        </w:rPr>
      </w:pPr>
      <w:r>
        <w:rPr>
          <w:rFonts w:hint="eastAsia" w:ascii="楷体" w:hAnsi="楷体" w:eastAsia="楷体" w:cs="楷体"/>
          <w:b/>
          <w:bCs/>
          <w:spacing w:val="0"/>
          <w:sz w:val="36"/>
          <w:szCs w:val="36"/>
          <w:lang w:eastAsia="zh-CN"/>
        </w:rPr>
        <w:t>（</w:t>
      </w:r>
      <w:r>
        <w:rPr>
          <w:rFonts w:hint="eastAsia" w:ascii="楷体" w:hAnsi="楷体" w:eastAsia="楷体" w:cs="楷体"/>
          <w:b/>
          <w:bCs/>
          <w:spacing w:val="0"/>
          <w:sz w:val="36"/>
          <w:szCs w:val="36"/>
          <w:lang w:val="en-US" w:eastAsia="zh-CN"/>
        </w:rPr>
        <w:t>一</w:t>
      </w:r>
      <w:r>
        <w:rPr>
          <w:rFonts w:hint="eastAsia" w:ascii="楷体" w:hAnsi="楷体" w:eastAsia="楷体" w:cs="楷体"/>
          <w:b/>
          <w:bCs/>
          <w:spacing w:val="0"/>
          <w:sz w:val="36"/>
          <w:szCs w:val="36"/>
          <w:lang w:eastAsia="zh-CN"/>
        </w:rPr>
        <w:t>）主动公开情况。</w:t>
      </w:r>
      <w:r>
        <w:rPr>
          <w:rFonts w:hint="eastAsia" w:ascii="Times New Roman" w:hAnsi="Times New Roman" w:eastAsia="仿宋_GB2312"/>
          <w:sz w:val="36"/>
          <w:szCs w:val="36"/>
          <w:lang w:val="en-US" w:eastAsia="zh-CN"/>
        </w:rPr>
        <w:t>扎实做好政府信息公开工作，</w:t>
      </w:r>
      <w:r>
        <w:rPr>
          <w:rFonts w:hint="eastAsia" w:ascii="Times New Roman" w:hAnsi="Times New Roman" w:eastAsia="仿宋_GB2312"/>
          <w:sz w:val="36"/>
          <w:szCs w:val="36"/>
        </w:rPr>
        <w:t>围绕推动高质量发展深化政务公开，加强“三大支撑八项重点”、优化营商环境、减税降费、扩大有效投资、疫情防控、民生实事、乡村振兴等重点领域信息公开。</w:t>
      </w:r>
      <w:r>
        <w:rPr>
          <w:rFonts w:hint="eastAsia" w:ascii="Times New Roman" w:hAnsi="Times New Roman" w:eastAsia="仿宋_GB2312"/>
          <w:sz w:val="36"/>
          <w:szCs w:val="36"/>
          <w:lang w:eastAsia="zh-CN"/>
        </w:rPr>
        <w:t>创新开展政务公开主题日活动，从省直单位上报主题中甄选30个主题按月部署推</w:t>
      </w:r>
      <w:r>
        <w:rPr>
          <w:rFonts w:hint="eastAsia" w:ascii="Times New Roman" w:hAnsi="Times New Roman" w:eastAsia="仿宋_GB2312"/>
          <w:color w:val="auto"/>
          <w:sz w:val="36"/>
          <w:szCs w:val="36"/>
          <w:lang w:eastAsia="zh-CN"/>
        </w:rPr>
        <w:t>进，</w:t>
      </w:r>
      <w:r>
        <w:rPr>
          <w:rFonts w:hint="eastAsia" w:ascii="Times New Roman" w:hAnsi="Times New Roman" w:eastAsia="仿宋_GB2312"/>
          <w:color w:val="auto"/>
          <w:sz w:val="36"/>
          <w:szCs w:val="36"/>
          <w:lang w:val="en-US" w:eastAsia="zh-CN"/>
        </w:rPr>
        <w:t>并</w:t>
      </w:r>
      <w:r>
        <w:rPr>
          <w:rFonts w:hint="eastAsia" w:ascii="Times New Roman" w:hAnsi="Times New Roman" w:eastAsia="仿宋_GB2312"/>
          <w:color w:val="auto"/>
          <w:sz w:val="36"/>
          <w:szCs w:val="36"/>
          <w:lang w:eastAsia="zh-CN"/>
        </w:rPr>
        <w:t>在省政府门户网站开设活动专栏，集中发布活动成果。</w:t>
      </w:r>
      <w:r>
        <w:rPr>
          <w:rFonts w:hint="eastAsia" w:ascii="Times New Roman" w:hAnsi="Times New Roman" w:eastAsia="仿宋_GB2312"/>
          <w:color w:val="auto"/>
          <w:sz w:val="36"/>
          <w:szCs w:val="36"/>
          <w:lang w:val="en-US" w:eastAsia="zh-CN"/>
        </w:rPr>
        <w:t>长沙市、衡阳市、株洲市、湘潭市、岳阳市、怀化市、湘西自治州等市州在本辖区组织开展了政务公开主题日活动，通过政府</w:t>
      </w:r>
      <w:r>
        <w:rPr>
          <w:rFonts w:hint="eastAsia" w:ascii="Times New Roman" w:hAnsi="Times New Roman" w:eastAsia="仿宋_GB2312"/>
          <w:color w:val="auto"/>
          <w:sz w:val="36"/>
          <w:szCs w:val="36"/>
          <w:lang w:val="en" w:eastAsia="zh-CN"/>
        </w:rPr>
        <w:t>网站</w:t>
      </w:r>
      <w:r>
        <w:rPr>
          <w:rFonts w:hint="eastAsia" w:ascii="Times New Roman" w:hAnsi="Times New Roman" w:eastAsia="仿宋_GB2312"/>
          <w:color w:val="auto"/>
          <w:sz w:val="36"/>
          <w:szCs w:val="36"/>
          <w:lang w:val="en-US" w:eastAsia="zh-CN"/>
        </w:rPr>
        <w:t>和政务新媒体发布活动情况</w:t>
      </w:r>
      <w:r>
        <w:rPr>
          <w:rFonts w:hint="eastAsia" w:ascii="Times New Roman" w:hAnsi="Times New Roman" w:eastAsia="仿宋_GB2312"/>
          <w:sz w:val="36"/>
          <w:szCs w:val="36"/>
          <w:lang w:eastAsia="zh-CN"/>
        </w:rPr>
        <w:t>，</w:t>
      </w:r>
      <w:r>
        <w:rPr>
          <w:rFonts w:hint="eastAsia" w:ascii="Times New Roman" w:hAnsi="Times New Roman" w:eastAsia="仿宋_GB2312"/>
          <w:sz w:val="36"/>
          <w:szCs w:val="36"/>
          <w:lang w:val="en-US" w:eastAsia="zh-CN"/>
        </w:rPr>
        <w:t>在全省</w:t>
      </w:r>
      <w:r>
        <w:rPr>
          <w:rFonts w:hint="eastAsia" w:ascii="Times New Roman" w:hAnsi="Times New Roman" w:eastAsia="仿宋_GB2312"/>
          <w:sz w:val="36"/>
          <w:szCs w:val="36"/>
          <w:highlight w:val="none"/>
          <w:lang w:eastAsia="zh-CN"/>
        </w:rPr>
        <w:t>营造了浓</w:t>
      </w:r>
      <w:r>
        <w:rPr>
          <w:rFonts w:hint="eastAsia" w:ascii="Times New Roman" w:hAnsi="Times New Roman" w:eastAsia="仿宋_GB2312"/>
          <w:color w:val="auto"/>
          <w:sz w:val="36"/>
          <w:szCs w:val="36"/>
          <w:highlight w:val="none"/>
          <w:lang w:eastAsia="zh-CN"/>
        </w:rPr>
        <w:t>厚的公开氛围。</w:t>
      </w:r>
      <w:r>
        <w:rPr>
          <w:rFonts w:hint="eastAsia" w:ascii="Times New Roman" w:hAnsi="Times New Roman" w:eastAsia="仿宋_GB2312"/>
          <w:color w:val="auto"/>
          <w:sz w:val="36"/>
          <w:szCs w:val="36"/>
          <w:highlight w:val="none"/>
          <w:lang w:val="en-US" w:eastAsia="zh-CN"/>
        </w:rPr>
        <w:t>省自然资源厅结合“全国土地日”宣传活动开展政务公开主题日活动，通过现场布展、设置咨询台、发放宣传资料等方式，向群众宣讲解读政府信息公开条例、自然资源领域基层政务公开名录和政策法规；省税务局组织特约监督员到天心区税务局办税大厅，沉浸式体验了退税操作全流程。在省政府门户网站开设“助企纾困—湖南在行动”专题，梳理发布省级政策56条、市州政策19条，通过文字、图表、视频等方式发布解读材料60篇。将“</w:t>
      </w:r>
      <w:r>
        <w:rPr>
          <w:rFonts w:hint="eastAsia" w:ascii="Times New Roman" w:hAnsi="Times New Roman" w:eastAsia="仿宋_GB2312"/>
          <w:color w:val="auto"/>
          <w:sz w:val="36"/>
          <w:szCs w:val="36"/>
          <w:highlight w:val="none"/>
          <w:lang w:eastAsia="zh-CN"/>
        </w:rPr>
        <w:t>政策文件智能化公开和应用”</w:t>
      </w:r>
      <w:r>
        <w:rPr>
          <w:rFonts w:hint="eastAsia" w:ascii="Times New Roman" w:hAnsi="Times New Roman" w:eastAsia="仿宋_GB2312"/>
          <w:color w:val="auto"/>
          <w:sz w:val="36"/>
          <w:szCs w:val="36"/>
          <w:highlight w:val="none"/>
          <w:lang w:val="en-US" w:eastAsia="zh-CN"/>
        </w:rPr>
        <w:t>纳入全省推行“放管服”改革“揭榜竞优”工作中，各市州踊跃“揭榜”</w:t>
      </w:r>
      <w:r>
        <w:rPr>
          <w:rFonts w:hint="eastAsia" w:ascii="Times New Roman" w:hAnsi="Times New Roman" w:eastAsia="仿宋_GB2312"/>
          <w:color w:val="auto"/>
          <w:sz w:val="36"/>
          <w:szCs w:val="36"/>
          <w:highlight w:val="none"/>
          <w:lang w:eastAsia="zh-CN"/>
        </w:rPr>
        <w:t>，</w:t>
      </w:r>
      <w:r>
        <w:rPr>
          <w:rFonts w:hint="eastAsia" w:ascii="Times New Roman" w:hAnsi="Times New Roman" w:eastAsia="仿宋_GB2312"/>
          <w:color w:val="auto"/>
          <w:sz w:val="36"/>
          <w:szCs w:val="36"/>
          <w:highlight w:val="none"/>
          <w:lang w:val="en-US" w:eastAsia="zh-CN"/>
        </w:rPr>
        <w:t>探索</w:t>
      </w:r>
      <w:r>
        <w:rPr>
          <w:rFonts w:hint="eastAsia" w:ascii="Times New Roman" w:hAnsi="Times New Roman" w:eastAsia="仿宋_GB2312"/>
          <w:color w:val="auto"/>
          <w:sz w:val="36"/>
          <w:szCs w:val="36"/>
          <w:highlight w:val="none"/>
          <w:lang w:eastAsia="zh-CN"/>
        </w:rPr>
        <w:t>通过智能机器人、大数据等技术运用，精准有效地为企业群众提供政策</w:t>
      </w:r>
      <w:r>
        <w:rPr>
          <w:rFonts w:hint="eastAsia" w:ascii="Times New Roman" w:hAnsi="Times New Roman" w:eastAsia="仿宋_GB2312"/>
          <w:color w:val="auto"/>
          <w:sz w:val="36"/>
          <w:szCs w:val="36"/>
          <w:highlight w:val="none"/>
          <w:lang w:val="en-US" w:eastAsia="zh-CN"/>
        </w:rPr>
        <w:t>公开和</w:t>
      </w:r>
      <w:r>
        <w:rPr>
          <w:rFonts w:hint="eastAsia" w:ascii="Times New Roman" w:hAnsi="Times New Roman" w:eastAsia="仿宋_GB2312"/>
          <w:color w:val="auto"/>
          <w:sz w:val="36"/>
          <w:szCs w:val="36"/>
          <w:highlight w:val="none"/>
          <w:lang w:eastAsia="zh-CN"/>
        </w:rPr>
        <w:t>咨询服务。</w:t>
      </w:r>
    </w:p>
    <w:p>
      <w:pPr>
        <w:pStyle w:val="2"/>
        <w:keepNext w:val="0"/>
        <w:keepLines w:val="0"/>
        <w:pageBreakBefore w:val="0"/>
        <w:widowControl w:val="0"/>
        <w:kinsoku/>
        <w:wordWrap/>
        <w:overflowPunct/>
        <w:topLinePunct w:val="0"/>
        <w:autoSpaceDE/>
        <w:autoSpaceDN/>
        <w:bidi w:val="0"/>
        <w:adjustRightInd/>
        <w:snapToGrid/>
        <w:spacing w:line="640" w:lineRule="exact"/>
        <w:ind w:firstLine="723" w:firstLineChars="200"/>
        <w:textAlignment w:val="auto"/>
        <w:rPr>
          <w:rFonts w:hint="eastAsia" w:ascii="Times New Roman" w:hAnsi="Times New Roman" w:eastAsia="仿宋_GB2312"/>
          <w:sz w:val="36"/>
          <w:szCs w:val="36"/>
          <w:highlight w:val="yellow"/>
        </w:rPr>
      </w:pPr>
      <w:r>
        <w:rPr>
          <w:rFonts w:hint="eastAsia" w:ascii="楷体" w:hAnsi="楷体" w:eastAsia="楷体" w:cs="楷体"/>
          <w:b/>
          <w:bCs/>
          <w:spacing w:val="0"/>
          <w:kern w:val="2"/>
          <w:sz w:val="36"/>
          <w:szCs w:val="36"/>
          <w:lang w:val="en-US" w:eastAsia="zh-CN" w:bidi="ar-SA"/>
        </w:rPr>
        <w:t>（二）依申请公开情况。</w:t>
      </w:r>
      <w:r>
        <w:rPr>
          <w:rFonts w:hint="eastAsia" w:ascii="Times New Roman" w:hAnsi="Times New Roman" w:eastAsia="仿宋_GB2312"/>
          <w:sz w:val="36"/>
          <w:szCs w:val="36"/>
          <w:lang w:val="en-US" w:eastAsia="zh-CN"/>
        </w:rPr>
        <w:t>全省各级各部门认真贯彻执行政府信息公开条例有关依申请公开的规定，依法依规办理政府信息公开申请件，在坚持以公开为常态不公开为例外的基础上，满足企业和群众个性化合理化的需求。</w:t>
      </w:r>
      <w:r>
        <w:rPr>
          <w:rFonts w:hint="eastAsia" w:ascii="Times New Roman" w:hAnsi="Times New Roman" w:eastAsia="仿宋_GB2312"/>
          <w:sz w:val="36"/>
          <w:szCs w:val="36"/>
          <w:highlight w:val="none"/>
          <w:lang w:val="en-US" w:eastAsia="zh-CN"/>
        </w:rPr>
        <w:t>2022年全省共收到依申请公开件11406件，上年度结转办理件177件，共办理完成11369件，结转到2023年办理214件。其中，省政府办公厅（政务局）2022年收到政府信息公开申请297件，</w:t>
      </w:r>
      <w:r>
        <w:rPr>
          <w:rFonts w:hint="eastAsia" w:ascii="Times New Roman" w:hAnsi="Times New Roman" w:eastAsia="仿宋_GB2312"/>
          <w:sz w:val="36"/>
          <w:szCs w:val="36"/>
          <w:highlight w:val="none"/>
        </w:rPr>
        <w:t>结转上年度政府信息公开申请</w:t>
      </w:r>
      <w:r>
        <w:rPr>
          <w:rFonts w:hint="eastAsia" w:ascii="Times New Roman" w:hAnsi="Times New Roman" w:eastAsia="仿宋_GB2312"/>
          <w:sz w:val="36"/>
          <w:szCs w:val="36"/>
          <w:highlight w:val="none"/>
          <w:lang w:val="en-US" w:eastAsia="zh-CN"/>
        </w:rPr>
        <w:t>3</w:t>
      </w:r>
      <w:r>
        <w:rPr>
          <w:rFonts w:hint="eastAsia" w:ascii="Times New Roman" w:hAnsi="Times New Roman" w:eastAsia="仿宋_GB2312"/>
          <w:sz w:val="36"/>
          <w:szCs w:val="36"/>
          <w:highlight w:val="none"/>
        </w:rPr>
        <w:t>件，共办理完成</w:t>
      </w:r>
      <w:r>
        <w:rPr>
          <w:rFonts w:hint="eastAsia" w:ascii="Times New Roman" w:hAnsi="Times New Roman" w:eastAsia="仿宋_GB2312"/>
          <w:sz w:val="36"/>
          <w:szCs w:val="36"/>
          <w:highlight w:val="none"/>
          <w:lang w:val="en-US" w:eastAsia="zh-CN"/>
        </w:rPr>
        <w:t>295</w:t>
      </w:r>
      <w:r>
        <w:rPr>
          <w:rFonts w:hint="eastAsia" w:ascii="Times New Roman" w:hAnsi="Times New Roman" w:eastAsia="仿宋_GB2312"/>
          <w:sz w:val="36"/>
          <w:szCs w:val="36"/>
          <w:highlight w:val="none"/>
        </w:rPr>
        <w:t>件，结转下年度继续办理</w:t>
      </w:r>
      <w:r>
        <w:rPr>
          <w:rFonts w:hint="eastAsia" w:ascii="Times New Roman" w:hAnsi="Times New Roman" w:eastAsia="仿宋_GB2312"/>
          <w:sz w:val="36"/>
          <w:szCs w:val="36"/>
          <w:highlight w:val="none"/>
          <w:lang w:val="en-US" w:eastAsia="zh-CN"/>
        </w:rPr>
        <w:t>5</w:t>
      </w:r>
      <w:r>
        <w:rPr>
          <w:rFonts w:hint="eastAsia" w:ascii="Times New Roman" w:hAnsi="Times New Roman" w:eastAsia="仿宋_GB2312"/>
          <w:sz w:val="36"/>
          <w:szCs w:val="36"/>
          <w:highlight w:val="none"/>
        </w:rPr>
        <w:t>件；发生行政复议</w:t>
      </w:r>
      <w:r>
        <w:rPr>
          <w:rFonts w:hint="eastAsia" w:ascii="Times New Roman" w:hAnsi="Times New Roman" w:eastAsia="仿宋_GB2312"/>
          <w:sz w:val="36"/>
          <w:szCs w:val="36"/>
          <w:highlight w:val="none"/>
          <w:lang w:val="en-US" w:eastAsia="zh-CN"/>
        </w:rPr>
        <w:t>3</w:t>
      </w:r>
      <w:r>
        <w:rPr>
          <w:rFonts w:hint="eastAsia" w:ascii="Times New Roman" w:hAnsi="Times New Roman" w:eastAsia="仿宋_GB2312"/>
          <w:sz w:val="36"/>
          <w:szCs w:val="36"/>
          <w:highlight w:val="none"/>
        </w:rPr>
        <w:t>件，其中</w:t>
      </w:r>
      <w:r>
        <w:rPr>
          <w:rFonts w:hint="eastAsia" w:ascii="Times New Roman" w:hAnsi="Times New Roman" w:eastAsia="仿宋_GB2312"/>
          <w:sz w:val="36"/>
          <w:szCs w:val="36"/>
          <w:highlight w:val="none"/>
          <w:lang w:val="en-US" w:eastAsia="zh-CN"/>
        </w:rPr>
        <w:t>3</w:t>
      </w:r>
      <w:r>
        <w:rPr>
          <w:rFonts w:hint="eastAsia" w:ascii="Times New Roman" w:hAnsi="Times New Roman" w:eastAsia="仿宋_GB2312"/>
          <w:sz w:val="36"/>
          <w:szCs w:val="36"/>
          <w:highlight w:val="none"/>
        </w:rPr>
        <w:t>件维持；发生行政诉讼</w:t>
      </w:r>
      <w:r>
        <w:rPr>
          <w:rFonts w:hint="eastAsia" w:ascii="Times New Roman" w:hAnsi="Times New Roman" w:eastAsia="仿宋_GB2312"/>
          <w:sz w:val="36"/>
          <w:szCs w:val="36"/>
          <w:highlight w:val="none"/>
          <w:lang w:val="en-US" w:eastAsia="zh-CN"/>
        </w:rPr>
        <w:t>5</w:t>
      </w:r>
      <w:r>
        <w:rPr>
          <w:rFonts w:hint="eastAsia" w:ascii="Times New Roman" w:hAnsi="Times New Roman" w:eastAsia="仿宋_GB2312"/>
          <w:sz w:val="36"/>
          <w:szCs w:val="36"/>
          <w:highlight w:val="none"/>
        </w:rPr>
        <w:t>件，其中</w:t>
      </w:r>
      <w:r>
        <w:rPr>
          <w:rFonts w:hint="eastAsia" w:ascii="Times New Roman" w:hAnsi="Times New Roman" w:eastAsia="仿宋_GB2312"/>
          <w:sz w:val="36"/>
          <w:szCs w:val="36"/>
          <w:highlight w:val="none"/>
          <w:lang w:val="en-US" w:eastAsia="zh-CN"/>
        </w:rPr>
        <w:t>3</w:t>
      </w:r>
      <w:r>
        <w:rPr>
          <w:rFonts w:hint="eastAsia" w:ascii="Times New Roman" w:hAnsi="Times New Roman" w:eastAsia="仿宋_GB2312"/>
          <w:sz w:val="36"/>
          <w:szCs w:val="36"/>
          <w:highlight w:val="none"/>
        </w:rPr>
        <w:t>件维持，</w:t>
      </w:r>
      <w:r>
        <w:rPr>
          <w:rFonts w:hint="eastAsia" w:ascii="Times New Roman" w:hAnsi="Times New Roman" w:eastAsia="仿宋_GB2312"/>
          <w:sz w:val="36"/>
          <w:szCs w:val="36"/>
          <w:highlight w:val="none"/>
          <w:lang w:val="en-US" w:eastAsia="zh-CN"/>
        </w:rPr>
        <w:t>2</w:t>
      </w:r>
      <w:r>
        <w:rPr>
          <w:rFonts w:hint="eastAsia" w:ascii="Times New Roman" w:hAnsi="Times New Roman" w:eastAsia="仿宋_GB2312"/>
          <w:sz w:val="36"/>
          <w:szCs w:val="36"/>
          <w:highlight w:val="none"/>
        </w:rPr>
        <w:t>件尚未审结。</w:t>
      </w:r>
    </w:p>
    <w:p>
      <w:pPr>
        <w:keepNext w:val="0"/>
        <w:keepLines w:val="0"/>
        <w:pageBreakBefore w:val="0"/>
        <w:widowControl w:val="0"/>
        <w:kinsoku/>
        <w:wordWrap/>
        <w:overflowPunct/>
        <w:topLinePunct w:val="0"/>
        <w:autoSpaceDE/>
        <w:autoSpaceDN/>
        <w:bidi w:val="0"/>
        <w:adjustRightInd/>
        <w:snapToGrid/>
        <w:spacing w:line="640" w:lineRule="exact"/>
        <w:ind w:firstLine="723" w:firstLineChars="200"/>
        <w:jc w:val="both"/>
        <w:textAlignment w:val="auto"/>
        <w:rPr>
          <w:rFonts w:hint="eastAsia" w:ascii="Times New Roman" w:hAnsi="Times New Roman" w:eastAsia="仿宋_GB2312" w:cs="Times New Roman"/>
          <w:color w:val="auto"/>
          <w:kern w:val="0"/>
          <w:sz w:val="36"/>
          <w:szCs w:val="36"/>
          <w:highlight w:val="none"/>
          <w:lang w:val="en-US" w:eastAsia="zh-CN"/>
        </w:rPr>
      </w:pPr>
      <w:r>
        <w:rPr>
          <w:rFonts w:hint="eastAsia" w:ascii="楷体" w:hAnsi="楷体" w:eastAsia="楷体" w:cs="楷体"/>
          <w:b/>
          <w:bCs/>
          <w:spacing w:val="0"/>
          <w:kern w:val="2"/>
          <w:sz w:val="36"/>
          <w:szCs w:val="36"/>
          <w:lang w:val="en-US" w:eastAsia="zh-CN" w:bidi="ar-SA"/>
        </w:rPr>
        <w:t>（三）政府信息管理情况</w:t>
      </w:r>
      <w:r>
        <w:rPr>
          <w:rFonts w:hint="eastAsia" w:ascii="Times New Roman" w:hAnsi="Times New Roman" w:eastAsia="仿宋_GB2312"/>
          <w:sz w:val="36"/>
          <w:szCs w:val="36"/>
          <w:lang w:val="en-US" w:eastAsia="zh-CN"/>
        </w:rPr>
        <w:t>。强化重点政务信息公开和管理工作，优化完善“湖南省政府规章库”，建立健全政府规章动态更新机制，发挥全国规章公开工作样板的示范作用。各市州人民政府、省直各单位通过政府门户网站的政府信息公开专栏，集中公开规范性文件并动态更新；县级以上人民政府依托政府门户网站开设专栏，集中发布政府常务会议、政府全会等决策信息</w:t>
      </w:r>
      <w:r>
        <w:rPr>
          <w:rFonts w:hint="eastAsia" w:ascii="Times New Roman" w:hAnsi="Times New Roman" w:eastAsia="仿宋_GB2312"/>
          <w:color w:val="auto"/>
          <w:sz w:val="36"/>
          <w:szCs w:val="36"/>
          <w:highlight w:val="none"/>
          <w:lang w:val="en-US" w:eastAsia="zh-CN"/>
        </w:rPr>
        <w:t>。</w:t>
      </w:r>
      <w:r>
        <w:rPr>
          <w:rFonts w:hint="eastAsia" w:ascii="Times New Roman" w:hAnsi="Times New Roman" w:eastAsia="仿宋_GB2312"/>
          <w:color w:val="auto"/>
          <w:sz w:val="36"/>
          <w:szCs w:val="36"/>
          <w:highlight w:val="none"/>
          <w:lang w:eastAsia="zh-CN"/>
        </w:rPr>
        <w:t>20</w:t>
      </w:r>
      <w:r>
        <w:rPr>
          <w:rFonts w:hint="eastAsia" w:ascii="Times New Roman" w:hAnsi="Times New Roman" w:eastAsia="仿宋_GB2312"/>
          <w:color w:val="auto"/>
          <w:sz w:val="36"/>
          <w:szCs w:val="36"/>
          <w:highlight w:val="none"/>
          <w:lang w:val="en-US" w:eastAsia="zh-CN"/>
        </w:rPr>
        <w:t>22</w:t>
      </w:r>
      <w:r>
        <w:rPr>
          <w:rFonts w:hint="eastAsia" w:ascii="Times New Roman" w:hAnsi="Times New Roman" w:eastAsia="仿宋_GB2312"/>
          <w:color w:val="auto"/>
          <w:sz w:val="36"/>
          <w:szCs w:val="36"/>
          <w:highlight w:val="none"/>
          <w:lang w:eastAsia="zh-CN"/>
        </w:rPr>
        <w:t>年，全省共制发规范性文件</w:t>
      </w:r>
      <w:r>
        <w:rPr>
          <w:rFonts w:hint="eastAsia" w:ascii="Times New Roman" w:hAnsi="Times New Roman" w:eastAsia="仿宋_GB2312"/>
          <w:color w:val="auto"/>
          <w:sz w:val="36"/>
          <w:szCs w:val="36"/>
          <w:highlight w:val="none"/>
          <w:lang w:val="en-US" w:eastAsia="zh-CN"/>
        </w:rPr>
        <w:t>3727</w:t>
      </w:r>
      <w:r>
        <w:rPr>
          <w:rFonts w:hint="eastAsia" w:ascii="Times New Roman" w:hAnsi="Times New Roman" w:eastAsia="仿宋_GB2312"/>
          <w:color w:val="auto"/>
          <w:sz w:val="36"/>
          <w:szCs w:val="36"/>
          <w:highlight w:val="none"/>
          <w:lang w:eastAsia="zh-CN"/>
        </w:rPr>
        <w:t>件，废止规范性文件</w:t>
      </w:r>
      <w:r>
        <w:rPr>
          <w:rFonts w:hint="eastAsia" w:ascii="Times New Roman" w:hAnsi="Times New Roman" w:eastAsia="仿宋_GB2312"/>
          <w:color w:val="auto"/>
          <w:sz w:val="36"/>
          <w:szCs w:val="36"/>
          <w:highlight w:val="none"/>
          <w:lang w:val="en-US" w:eastAsia="zh-CN"/>
        </w:rPr>
        <w:t>3343</w:t>
      </w:r>
      <w:r>
        <w:rPr>
          <w:rFonts w:hint="eastAsia" w:ascii="Times New Roman" w:hAnsi="Times New Roman" w:eastAsia="仿宋_GB2312"/>
          <w:color w:val="auto"/>
          <w:sz w:val="36"/>
          <w:szCs w:val="36"/>
          <w:highlight w:val="none"/>
          <w:lang w:eastAsia="zh-CN"/>
        </w:rPr>
        <w:t>件，现行有效规范性文件</w:t>
      </w:r>
      <w:r>
        <w:rPr>
          <w:rFonts w:hint="eastAsia" w:ascii="Times New Roman" w:hAnsi="Times New Roman" w:eastAsia="仿宋_GB2312"/>
          <w:color w:val="auto"/>
          <w:sz w:val="36"/>
          <w:szCs w:val="36"/>
          <w:highlight w:val="none"/>
          <w:lang w:val="en-US" w:eastAsia="zh-CN"/>
        </w:rPr>
        <w:t>13318</w:t>
      </w:r>
      <w:r>
        <w:rPr>
          <w:rFonts w:hint="eastAsia" w:ascii="Times New Roman" w:hAnsi="Times New Roman" w:eastAsia="仿宋_GB2312"/>
          <w:color w:val="auto"/>
          <w:sz w:val="36"/>
          <w:szCs w:val="36"/>
          <w:highlight w:val="none"/>
          <w:lang w:eastAsia="zh-CN"/>
        </w:rPr>
        <w:t>件；</w:t>
      </w:r>
      <w:r>
        <w:rPr>
          <w:rFonts w:hint="eastAsia" w:ascii="Times New Roman" w:hAnsi="Times New Roman" w:eastAsia="仿宋_GB2312"/>
          <w:color w:val="auto"/>
          <w:sz w:val="36"/>
          <w:szCs w:val="36"/>
          <w:highlight w:val="none"/>
          <w:lang w:val="en-US" w:eastAsia="zh-CN"/>
        </w:rPr>
        <w:t>在</w:t>
      </w:r>
      <w:r>
        <w:rPr>
          <w:rFonts w:hint="eastAsia" w:ascii="Times New Roman" w:hAnsi="Times New Roman" w:eastAsia="仿宋_GB2312"/>
          <w:color w:val="auto"/>
          <w:sz w:val="36"/>
          <w:szCs w:val="36"/>
          <w:highlight w:val="none"/>
          <w:lang w:eastAsia="zh-CN"/>
        </w:rPr>
        <w:t>省政府门户网站政府信息公开专栏发布省政府规章</w:t>
      </w:r>
      <w:r>
        <w:rPr>
          <w:rFonts w:hint="eastAsia" w:ascii="Times New Roman" w:hAnsi="Times New Roman" w:eastAsia="仿宋_GB2312"/>
          <w:color w:val="auto"/>
          <w:sz w:val="36"/>
          <w:szCs w:val="36"/>
          <w:highlight w:val="none"/>
          <w:lang w:val="en-US" w:eastAsia="zh-CN"/>
        </w:rPr>
        <w:t>2</w:t>
      </w:r>
      <w:r>
        <w:rPr>
          <w:rFonts w:hint="eastAsia" w:ascii="Times New Roman" w:hAnsi="Times New Roman" w:eastAsia="仿宋_GB2312"/>
          <w:color w:val="auto"/>
          <w:sz w:val="36"/>
          <w:szCs w:val="36"/>
          <w:highlight w:val="none"/>
          <w:lang w:eastAsia="zh-CN"/>
        </w:rPr>
        <w:t>件、省政府文件</w:t>
      </w:r>
      <w:r>
        <w:rPr>
          <w:rFonts w:hint="eastAsia" w:ascii="Times New Roman" w:hAnsi="Times New Roman" w:eastAsia="仿宋_GB2312"/>
          <w:color w:val="auto"/>
          <w:sz w:val="36"/>
          <w:szCs w:val="36"/>
          <w:highlight w:val="none"/>
          <w:lang w:val="en-US" w:eastAsia="zh-CN"/>
        </w:rPr>
        <w:t>16</w:t>
      </w:r>
      <w:r>
        <w:rPr>
          <w:rFonts w:hint="eastAsia" w:ascii="Times New Roman" w:hAnsi="Times New Roman" w:eastAsia="仿宋_GB2312"/>
          <w:color w:val="auto"/>
          <w:sz w:val="36"/>
          <w:szCs w:val="36"/>
          <w:highlight w:val="none"/>
          <w:lang w:eastAsia="zh-CN"/>
        </w:rPr>
        <w:t>件、省政府办公厅文件</w:t>
      </w:r>
      <w:r>
        <w:rPr>
          <w:rFonts w:hint="eastAsia" w:ascii="Times New Roman" w:hAnsi="Times New Roman" w:eastAsia="仿宋_GB2312"/>
          <w:color w:val="auto"/>
          <w:sz w:val="36"/>
          <w:szCs w:val="36"/>
          <w:highlight w:val="none"/>
          <w:lang w:val="en-US" w:eastAsia="zh-CN"/>
        </w:rPr>
        <w:t>54</w:t>
      </w:r>
      <w:r>
        <w:rPr>
          <w:rFonts w:hint="eastAsia" w:ascii="Times New Roman" w:hAnsi="Times New Roman" w:eastAsia="仿宋_GB2312"/>
          <w:color w:val="auto"/>
          <w:sz w:val="36"/>
          <w:szCs w:val="36"/>
          <w:highlight w:val="none"/>
          <w:lang w:eastAsia="zh-CN"/>
        </w:rPr>
        <w:t>件。</w:t>
      </w:r>
    </w:p>
    <w:p>
      <w:pPr>
        <w:pStyle w:val="2"/>
        <w:keepNext w:val="0"/>
        <w:keepLines w:val="0"/>
        <w:pageBreakBefore w:val="0"/>
        <w:widowControl w:val="0"/>
        <w:kinsoku/>
        <w:wordWrap/>
        <w:overflowPunct/>
        <w:topLinePunct w:val="0"/>
        <w:autoSpaceDE/>
        <w:autoSpaceDN/>
        <w:bidi w:val="0"/>
        <w:adjustRightInd/>
        <w:snapToGrid/>
        <w:spacing w:line="640" w:lineRule="exact"/>
        <w:ind w:firstLine="723" w:firstLineChars="200"/>
        <w:textAlignment w:val="auto"/>
        <w:rPr>
          <w:rFonts w:hint="default" w:ascii="楷体" w:hAnsi="楷体" w:eastAsia="楷体" w:cs="楷体"/>
          <w:b/>
          <w:bCs/>
          <w:spacing w:val="0"/>
          <w:kern w:val="2"/>
          <w:sz w:val="36"/>
          <w:szCs w:val="36"/>
          <w:lang w:val="en-US" w:eastAsia="zh-CN" w:bidi="ar-SA"/>
        </w:rPr>
      </w:pPr>
      <w:r>
        <w:rPr>
          <w:rFonts w:hint="eastAsia" w:ascii="楷体" w:hAnsi="楷体" w:eastAsia="楷体" w:cs="楷体"/>
          <w:b/>
          <w:bCs/>
          <w:color w:val="auto"/>
          <w:spacing w:val="0"/>
          <w:kern w:val="2"/>
          <w:sz w:val="36"/>
          <w:szCs w:val="36"/>
          <w:highlight w:val="none"/>
          <w:lang w:val="en-US" w:eastAsia="zh-CN" w:bidi="ar-SA"/>
        </w:rPr>
        <w:t>（四）政府信息公开平台建设情况。</w:t>
      </w:r>
      <w:r>
        <w:rPr>
          <w:rFonts w:hint="eastAsia" w:ascii="Times New Roman" w:hAnsi="Times New Roman" w:eastAsia="仿宋_GB2312" w:cs="Times New Roman"/>
          <w:color w:val="auto"/>
          <w:kern w:val="0"/>
          <w:sz w:val="36"/>
          <w:szCs w:val="36"/>
          <w:highlight w:val="none"/>
          <w:lang w:val="en-US" w:eastAsia="zh-CN" w:bidi="ar-SA"/>
        </w:rPr>
        <w:t>发挥政府网站和政务新媒体第一公开平台作用，以“省政府门户网站+微信+微博”为主阵地，坚持PC端和移动端同步发力，做好政务公开、政策解读、回应关切、政民互动等工作。强化全省政府网站和政务新媒体监管，完善日常监测、季度抽查等多元化监管机制，充分发挥监管增效优势，确保全省政府网站和政务新媒体健康有序发展。</w:t>
      </w:r>
      <w:r>
        <w:rPr>
          <w:rFonts w:hint="eastAsia" w:ascii="Times New Roman" w:hAnsi="Times New Roman" w:eastAsia="仿宋_GB2312" w:cs="Times New Roman"/>
          <w:color w:val="auto"/>
          <w:kern w:val="0"/>
          <w:sz w:val="36"/>
          <w:szCs w:val="36"/>
          <w:highlight w:val="none"/>
          <w:lang w:val="en-US" w:eastAsia="zh-CN"/>
        </w:rPr>
        <w:t>省级统筹</w:t>
      </w:r>
      <w:r>
        <w:rPr>
          <w:rFonts w:hint="default" w:ascii="Times New Roman" w:hAnsi="Times New Roman" w:eastAsia="仿宋_GB2312" w:cs="Times New Roman"/>
          <w:color w:val="auto"/>
          <w:kern w:val="0"/>
          <w:sz w:val="36"/>
          <w:szCs w:val="36"/>
          <w:highlight w:val="none"/>
          <w:lang w:val="en" w:eastAsia="zh-CN"/>
        </w:rPr>
        <w:t>全面推广重要信息</w:t>
      </w:r>
      <w:r>
        <w:rPr>
          <w:rFonts w:hint="eastAsia" w:ascii="Times New Roman" w:hAnsi="Times New Roman" w:eastAsia="仿宋_GB2312" w:cs="Times New Roman"/>
          <w:color w:val="auto"/>
          <w:kern w:val="0"/>
          <w:sz w:val="36"/>
          <w:szCs w:val="36"/>
          <w:highlight w:val="none"/>
          <w:lang w:val="en" w:eastAsia="zh-CN"/>
        </w:rPr>
        <w:t>“</w:t>
      </w:r>
      <w:r>
        <w:rPr>
          <w:rFonts w:hint="default" w:ascii="Times New Roman" w:hAnsi="Times New Roman" w:eastAsia="仿宋_GB2312" w:cs="Times New Roman"/>
          <w:color w:val="auto"/>
          <w:kern w:val="0"/>
          <w:sz w:val="36"/>
          <w:szCs w:val="36"/>
          <w:highlight w:val="none"/>
          <w:lang w:val="en" w:eastAsia="zh-CN"/>
        </w:rPr>
        <w:t>一键发布</w:t>
      </w:r>
      <w:r>
        <w:rPr>
          <w:rFonts w:hint="eastAsia" w:ascii="Times New Roman" w:hAnsi="Times New Roman" w:eastAsia="仿宋_GB2312" w:cs="Times New Roman"/>
          <w:kern w:val="0"/>
          <w:sz w:val="36"/>
          <w:szCs w:val="36"/>
          <w:highlight w:val="none"/>
          <w:lang w:val="en" w:eastAsia="zh-CN"/>
        </w:rPr>
        <w:t>”</w:t>
      </w:r>
      <w:r>
        <w:rPr>
          <w:rFonts w:hint="default" w:ascii="Times New Roman" w:hAnsi="Times New Roman" w:eastAsia="仿宋_GB2312" w:cs="Times New Roman"/>
          <w:kern w:val="0"/>
          <w:sz w:val="36"/>
          <w:szCs w:val="36"/>
          <w:highlight w:val="none"/>
          <w:lang w:val="en" w:eastAsia="zh-CN"/>
        </w:rPr>
        <w:t>工作，建成</w:t>
      </w:r>
      <w:r>
        <w:rPr>
          <w:rFonts w:hint="eastAsia" w:ascii="Times New Roman" w:hAnsi="Times New Roman" w:eastAsia="仿宋_GB2312" w:cs="Times New Roman"/>
          <w:kern w:val="0"/>
          <w:sz w:val="36"/>
          <w:szCs w:val="36"/>
          <w:highlight w:val="none"/>
          <w:lang w:val="en-US" w:eastAsia="zh-CN"/>
        </w:rPr>
        <w:t>全省</w:t>
      </w:r>
      <w:r>
        <w:rPr>
          <w:rFonts w:hint="default" w:ascii="Times New Roman" w:hAnsi="Times New Roman" w:eastAsia="仿宋_GB2312" w:cs="Times New Roman"/>
          <w:kern w:val="0"/>
          <w:sz w:val="36"/>
          <w:szCs w:val="36"/>
          <w:highlight w:val="none"/>
          <w:lang w:val="en" w:eastAsia="zh-CN"/>
        </w:rPr>
        <w:t>重要信息</w:t>
      </w:r>
      <w:r>
        <w:rPr>
          <w:rFonts w:hint="eastAsia" w:ascii="Times New Roman" w:hAnsi="Times New Roman" w:eastAsia="仿宋_GB2312" w:cs="Times New Roman"/>
          <w:kern w:val="0"/>
          <w:sz w:val="36"/>
          <w:szCs w:val="36"/>
          <w:highlight w:val="none"/>
          <w:lang w:val="en" w:eastAsia="zh-CN"/>
        </w:rPr>
        <w:t>协同发布</w:t>
      </w:r>
      <w:r>
        <w:rPr>
          <w:rFonts w:hint="default" w:ascii="Times New Roman" w:hAnsi="Times New Roman" w:eastAsia="仿宋_GB2312" w:cs="Times New Roman"/>
          <w:kern w:val="0"/>
          <w:sz w:val="36"/>
          <w:szCs w:val="36"/>
          <w:highlight w:val="none"/>
          <w:lang w:val="en" w:eastAsia="zh-CN"/>
        </w:rPr>
        <w:t>模式。</w:t>
      </w:r>
      <w:r>
        <w:rPr>
          <w:rFonts w:hint="eastAsia" w:ascii="Times New Roman" w:hAnsi="Times New Roman" w:eastAsia="仿宋_GB2312" w:cs="Times New Roman"/>
          <w:kern w:val="0"/>
          <w:sz w:val="36"/>
          <w:szCs w:val="36"/>
          <w:highlight w:val="none"/>
          <w:lang w:val="en-US" w:eastAsia="zh-CN"/>
        </w:rPr>
        <w:t>2022年，湖南省重要信息转载“一键发布”栏目共发布党中央国务院重要信息</w:t>
      </w:r>
      <w:r>
        <w:rPr>
          <w:rFonts w:hint="eastAsia" w:ascii="Times New Roman" w:hAnsi="Times New Roman" w:eastAsia="仿宋_GB2312"/>
          <w:sz w:val="36"/>
          <w:szCs w:val="36"/>
          <w:highlight w:val="none"/>
          <w:lang w:val="en-US" w:eastAsia="zh-CN"/>
        </w:rPr>
        <w:t>497</w:t>
      </w:r>
      <w:r>
        <w:rPr>
          <w:rFonts w:hint="eastAsia" w:ascii="Times New Roman" w:hAnsi="Times New Roman" w:eastAsia="仿宋_GB2312" w:cs="Times New Roman"/>
          <w:kern w:val="0"/>
          <w:sz w:val="36"/>
          <w:szCs w:val="36"/>
          <w:highlight w:val="none"/>
          <w:lang w:val="en-US" w:eastAsia="zh-CN"/>
        </w:rPr>
        <w:t>条，全省619家政府网站全部同步发布，重要信息发布达到率100%，点击量同比增长600%。在“湘易办”超级服务端开设资讯频道，与省政府门户网站规章库、文件库同源发布规章和规范性文件。</w:t>
      </w:r>
    </w:p>
    <w:p>
      <w:pPr>
        <w:keepNext w:val="0"/>
        <w:keepLines w:val="0"/>
        <w:pageBreakBefore w:val="0"/>
        <w:widowControl w:val="0"/>
        <w:kinsoku/>
        <w:wordWrap/>
        <w:overflowPunct/>
        <w:topLinePunct w:val="0"/>
        <w:autoSpaceDE/>
        <w:autoSpaceDN/>
        <w:bidi w:val="0"/>
        <w:adjustRightInd/>
        <w:snapToGrid/>
        <w:spacing w:line="640" w:lineRule="exact"/>
        <w:ind w:firstLine="723" w:firstLineChars="200"/>
        <w:textAlignment w:val="auto"/>
        <w:rPr>
          <w:rFonts w:hint="eastAsia" w:ascii="黑体" w:hAnsi="黑体" w:eastAsia="黑体" w:cs="黑体"/>
          <w:b w:val="0"/>
          <w:bCs w:val="0"/>
          <w:color w:val="333333"/>
          <w:kern w:val="0"/>
          <w:sz w:val="36"/>
          <w:szCs w:val="36"/>
        </w:rPr>
      </w:pPr>
      <w:r>
        <w:rPr>
          <w:rFonts w:hint="eastAsia" w:ascii="楷体" w:hAnsi="楷体" w:eastAsia="楷体" w:cs="楷体"/>
          <w:b/>
          <w:bCs/>
          <w:spacing w:val="0"/>
          <w:kern w:val="2"/>
          <w:sz w:val="36"/>
          <w:szCs w:val="36"/>
          <w:lang w:val="en-US" w:eastAsia="zh-CN" w:bidi="ar-SA"/>
        </w:rPr>
        <w:t>（五）监督保障情况。</w:t>
      </w:r>
      <w:r>
        <w:rPr>
          <w:rFonts w:hint="eastAsia" w:ascii="Times New Roman" w:hAnsi="Times New Roman" w:eastAsia="仿宋_GB2312" w:cs="Times New Roman"/>
          <w:color w:val="auto"/>
          <w:kern w:val="0"/>
          <w:sz w:val="36"/>
          <w:szCs w:val="36"/>
          <w:highlight w:val="none"/>
          <w:lang w:val="en-US" w:eastAsia="zh-CN" w:bidi="ar-SA"/>
        </w:rPr>
        <w:t>全省各级政府信息公开主管部门充分发挥推进、指导、协调、监督作用，建立健全日常指导与集中培训相结合的学习培训制度，将政务公开工作纳入重要议事日程，灵活采取电话联系、线上答疑、视频会议等多种方式开展业务指导，每年组织不少于一次集中培训，经常性开展“点对点”指导或现场授课。2022年制定出台《政务公开评估规范》湖南省地方标准，积极</w:t>
      </w:r>
      <w:r>
        <w:rPr>
          <w:rFonts w:hint="eastAsia" w:ascii="Times New Roman" w:hAnsi="Times New Roman" w:eastAsia="仿宋_GB2312"/>
          <w:color w:val="auto"/>
          <w:sz w:val="36"/>
          <w:szCs w:val="36"/>
          <w:highlight w:val="none"/>
          <w:lang w:val="en-US" w:eastAsia="zh-CN"/>
        </w:rPr>
        <w:t>运用省地标，</w:t>
      </w:r>
      <w:r>
        <w:rPr>
          <w:rFonts w:hint="eastAsia" w:ascii="Times New Roman" w:hAnsi="Times New Roman" w:eastAsia="仿宋_GB2312"/>
          <w:strike w:val="0"/>
          <w:dstrike w:val="0"/>
          <w:color w:val="auto"/>
          <w:sz w:val="36"/>
          <w:szCs w:val="36"/>
          <w:highlight w:val="none"/>
          <w:lang w:val="en-US" w:eastAsia="zh-CN"/>
        </w:rPr>
        <w:t>组织</w:t>
      </w:r>
      <w:r>
        <w:rPr>
          <w:rFonts w:hint="eastAsia" w:ascii="Times New Roman" w:hAnsi="Times New Roman" w:eastAsia="仿宋_GB2312"/>
          <w:strike w:val="0"/>
          <w:color w:val="auto"/>
          <w:sz w:val="36"/>
          <w:szCs w:val="36"/>
          <w:highlight w:val="none"/>
          <w:lang w:val="en-US" w:eastAsia="zh-CN"/>
        </w:rPr>
        <w:t>开展全</w:t>
      </w:r>
      <w:r>
        <w:rPr>
          <w:rFonts w:hint="eastAsia" w:ascii="Times New Roman" w:hAnsi="Times New Roman" w:eastAsia="仿宋_GB2312"/>
          <w:strike w:val="0"/>
          <w:sz w:val="36"/>
          <w:szCs w:val="36"/>
          <w:highlight w:val="none"/>
          <w:lang w:val="en-US" w:eastAsia="zh-CN"/>
        </w:rPr>
        <w:t>省首次政务公开第三方评估，</w:t>
      </w:r>
      <w:r>
        <w:rPr>
          <w:rFonts w:hint="default" w:ascii="Times New Roman" w:hAnsi="Times New Roman" w:eastAsia="仿宋_GB2312"/>
          <w:strike w:val="0"/>
          <w:dstrike w:val="0"/>
          <w:sz w:val="36"/>
          <w:szCs w:val="36"/>
          <w:highlight w:val="none"/>
          <w:lang w:val="en" w:eastAsia="zh-CN"/>
        </w:rPr>
        <w:t>委托第三方机构对各市州、县市区人民政府和省直</w:t>
      </w:r>
      <w:r>
        <w:rPr>
          <w:rFonts w:hint="eastAsia" w:ascii="Times New Roman" w:hAnsi="Times New Roman" w:eastAsia="仿宋_GB2312"/>
          <w:strike w:val="0"/>
          <w:dstrike w:val="0"/>
          <w:sz w:val="36"/>
          <w:szCs w:val="36"/>
          <w:highlight w:val="none"/>
          <w:lang w:val="en-US" w:eastAsia="zh-CN"/>
        </w:rPr>
        <w:t>相关</w:t>
      </w:r>
      <w:r>
        <w:rPr>
          <w:rFonts w:hint="default" w:ascii="Times New Roman" w:hAnsi="Times New Roman" w:eastAsia="仿宋_GB2312"/>
          <w:strike w:val="0"/>
          <w:dstrike w:val="0"/>
          <w:sz w:val="36"/>
          <w:szCs w:val="36"/>
          <w:highlight w:val="none"/>
          <w:lang w:val="en" w:eastAsia="zh-CN"/>
        </w:rPr>
        <w:t>单位</w:t>
      </w:r>
      <w:r>
        <w:rPr>
          <w:rFonts w:hint="eastAsia" w:ascii="Times New Roman" w:hAnsi="Times New Roman" w:eastAsia="仿宋_GB2312"/>
          <w:strike w:val="0"/>
          <w:dstrike w:val="0"/>
          <w:sz w:val="36"/>
          <w:szCs w:val="36"/>
          <w:highlight w:val="none"/>
          <w:lang w:val="en-US" w:eastAsia="zh-CN"/>
        </w:rPr>
        <w:t>2022年政务公开工作进行评估</w:t>
      </w:r>
      <w:r>
        <w:rPr>
          <w:rFonts w:hint="default" w:ascii="Times New Roman" w:hAnsi="Times New Roman" w:eastAsia="仿宋_GB2312"/>
          <w:strike w:val="0"/>
          <w:dstrike w:val="0"/>
          <w:sz w:val="36"/>
          <w:szCs w:val="36"/>
          <w:highlight w:val="none"/>
          <w:lang w:val="en" w:eastAsia="zh-CN"/>
        </w:rPr>
        <w:t>，</w:t>
      </w:r>
      <w:r>
        <w:rPr>
          <w:rFonts w:hint="eastAsia" w:ascii="Times New Roman" w:hAnsi="Times New Roman" w:eastAsia="仿宋_GB2312"/>
          <w:sz w:val="36"/>
          <w:szCs w:val="36"/>
          <w:highlight w:val="none"/>
          <w:lang w:val="en-US" w:eastAsia="zh-CN"/>
        </w:rPr>
        <w:t>评估结果作为年度绩效考核、真抓实干激励表彰和政务公开评比表彰的重要依据，并“点对点”将评估结果和发现问题下发各被评估单位，要求举一反三、整改提升</w:t>
      </w:r>
      <w:r>
        <w:rPr>
          <w:rFonts w:hint="eastAsia" w:ascii="Times New Roman" w:hAnsi="Times New Roman" w:eastAsia="仿宋_GB2312"/>
          <w:strike w:val="0"/>
          <w:dstrike w:val="0"/>
          <w:sz w:val="36"/>
          <w:szCs w:val="36"/>
          <w:highlight w:val="none"/>
          <w:lang w:val="en-US" w:eastAsia="zh-CN"/>
        </w:rPr>
        <w:t>，以评估的规范化促进公开</w:t>
      </w:r>
      <w:r>
        <w:rPr>
          <w:rFonts w:hint="default" w:ascii="Times New Roman" w:hAnsi="Times New Roman" w:eastAsia="仿宋_GB2312"/>
          <w:strike w:val="0"/>
          <w:dstrike w:val="0"/>
          <w:sz w:val="36"/>
          <w:szCs w:val="36"/>
          <w:highlight w:val="none"/>
          <w:lang w:val="en-US" w:eastAsia="zh-CN"/>
        </w:rPr>
        <w:t>的规范化</w:t>
      </w:r>
      <w:r>
        <w:rPr>
          <w:rFonts w:hint="eastAsia" w:ascii="Times New Roman" w:hAnsi="Times New Roman" w:eastAsia="仿宋_GB2312"/>
          <w:strike w:val="0"/>
          <w:sz w:val="36"/>
          <w:szCs w:val="36"/>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720" w:firstLineChars="200"/>
        <w:textAlignment w:val="auto"/>
        <w:rPr>
          <w:rFonts w:hint="eastAsia" w:ascii="宋体" w:hAnsi="宋体" w:cs="宋体"/>
          <w:color w:val="auto"/>
          <w:kern w:val="0"/>
          <w:sz w:val="36"/>
          <w:szCs w:val="36"/>
        </w:rPr>
      </w:pPr>
      <w:r>
        <w:rPr>
          <w:rFonts w:hint="eastAsia" w:ascii="黑体" w:hAnsi="黑体" w:eastAsia="黑体" w:cs="黑体"/>
          <w:b w:val="0"/>
          <w:bCs w:val="0"/>
          <w:color w:val="auto"/>
          <w:kern w:val="0"/>
          <w:sz w:val="36"/>
          <w:szCs w:val="36"/>
        </w:rPr>
        <w:t>二、主动公开政府信息情况</w:t>
      </w:r>
    </w:p>
    <w:tbl>
      <w:tblPr>
        <w:tblStyle w:val="7"/>
        <w:tblW w:w="8556" w:type="dxa"/>
        <w:tblInd w:w="0" w:type="dxa"/>
        <w:tblLayout w:type="fixed"/>
        <w:tblCellMar>
          <w:top w:w="0" w:type="dxa"/>
          <w:left w:w="0" w:type="dxa"/>
          <w:bottom w:w="0" w:type="dxa"/>
          <w:right w:w="0" w:type="dxa"/>
        </w:tblCellMar>
      </w:tblPr>
      <w:tblGrid>
        <w:gridCol w:w="2139"/>
        <w:gridCol w:w="2139"/>
        <w:gridCol w:w="2139"/>
        <w:gridCol w:w="2139"/>
      </w:tblGrid>
      <w:tr>
        <w:tblPrEx>
          <w:tblCellMar>
            <w:top w:w="0" w:type="dxa"/>
            <w:left w:w="0" w:type="dxa"/>
            <w:bottom w:w="0" w:type="dxa"/>
            <w:right w:w="0" w:type="dxa"/>
          </w:tblCellMar>
        </w:tblPrEx>
        <w:trPr>
          <w:trHeight w:val="314" w:hRule="atLeast"/>
        </w:trPr>
        <w:tc>
          <w:tcPr>
            <w:tcW w:w="8556"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cs="宋体"/>
                <w:kern w:val="0"/>
                <w:sz w:val="28"/>
                <w:szCs w:val="28"/>
              </w:rPr>
            </w:pPr>
            <w:r>
              <w:rPr>
                <w:rFonts w:hint="eastAsia" w:ascii="宋体" w:hAnsi="宋体" w:cs="宋体"/>
                <w:color w:val="000000"/>
                <w:kern w:val="0"/>
                <w:sz w:val="28"/>
                <w:szCs w:val="28"/>
              </w:rPr>
              <w:t>第二十条第（一）项</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信息内容</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本年</w:t>
            </w:r>
            <w:r>
              <w:rPr>
                <w:rFonts w:ascii="宋体" w:hAnsi="宋体" w:cs="宋体"/>
                <w:kern w:val="0"/>
                <w:sz w:val="28"/>
                <w:szCs w:val="28"/>
              </w:rPr>
              <w:t>制</w:t>
            </w:r>
            <w:r>
              <w:rPr>
                <w:rFonts w:hint="eastAsia" w:ascii="宋体" w:hAnsi="宋体" w:cs="宋体"/>
                <w:kern w:val="0"/>
                <w:sz w:val="28"/>
                <w:szCs w:val="28"/>
              </w:rPr>
              <w:t>发件</w:t>
            </w:r>
            <w:r>
              <w:rPr>
                <w:rFonts w:ascii="宋体" w:hAnsi="宋体" w:cs="宋体"/>
                <w:kern w:val="0"/>
                <w:sz w:val="28"/>
                <w:szCs w:val="28"/>
              </w:rPr>
              <w:t>数</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本年废止件数</w:t>
            </w:r>
          </w:p>
        </w:tc>
        <w:tc>
          <w:tcPr>
            <w:tcW w:w="213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现行有效件</w:t>
            </w:r>
            <w:r>
              <w:rPr>
                <w:rFonts w:ascii="宋体" w:hAnsi="宋体" w:cs="宋体"/>
                <w:kern w:val="0"/>
                <w:sz w:val="28"/>
                <w:szCs w:val="28"/>
              </w:rPr>
              <w:t>数</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规章</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i w:val="0"/>
                <w:iCs w:val="0"/>
                <w:color w:val="auto"/>
                <w:kern w:val="0"/>
                <w:sz w:val="28"/>
                <w:szCs w:val="28"/>
                <w:u w:val="none"/>
                <w:lang w:val="en-US" w:eastAsia="zh-CN" w:bidi="ar"/>
              </w:rPr>
            </w:pPr>
            <w:r>
              <w:rPr>
                <w:rFonts w:hint="eastAsia" w:ascii="Times New Roman" w:hAnsi="Times New Roman" w:cs="Times New Roman"/>
                <w:i w:val="0"/>
                <w:iCs w:val="0"/>
                <w:color w:val="auto"/>
                <w:kern w:val="0"/>
                <w:sz w:val="28"/>
                <w:szCs w:val="28"/>
                <w:u w:val="none"/>
                <w:lang w:val="en-US" w:eastAsia="zh-CN" w:bidi="ar"/>
              </w:rPr>
              <w:t>9</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i w:val="0"/>
                <w:iCs w:val="0"/>
                <w:color w:val="auto"/>
                <w:kern w:val="0"/>
                <w:sz w:val="28"/>
                <w:szCs w:val="28"/>
                <w:u w:val="none"/>
                <w:lang w:val="en-US" w:eastAsia="zh-CN" w:bidi="ar"/>
              </w:rPr>
            </w:pPr>
            <w:r>
              <w:rPr>
                <w:rFonts w:hint="default" w:ascii="Times New Roman" w:hAnsi="Times New Roman" w:eastAsia="宋体" w:cs="Times New Roman"/>
                <w:i w:val="0"/>
                <w:iCs w:val="0"/>
                <w:color w:val="auto"/>
                <w:kern w:val="0"/>
                <w:sz w:val="28"/>
                <w:szCs w:val="28"/>
                <w:u w:val="none"/>
                <w:lang w:val="en-US" w:eastAsia="zh-CN" w:bidi="ar"/>
              </w:rPr>
              <w:t>5</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i w:val="0"/>
                <w:iCs w:val="0"/>
                <w:color w:val="auto"/>
                <w:kern w:val="0"/>
                <w:sz w:val="28"/>
                <w:szCs w:val="28"/>
                <w:u w:val="none"/>
                <w:lang w:val="en-US" w:eastAsia="zh-CN" w:bidi="ar"/>
              </w:rPr>
            </w:pPr>
            <w:r>
              <w:rPr>
                <w:rFonts w:hint="default" w:ascii="Times New Roman" w:hAnsi="Times New Roman" w:eastAsia="宋体" w:cs="Times New Roman"/>
                <w:i w:val="0"/>
                <w:iCs w:val="0"/>
                <w:color w:val="auto"/>
                <w:kern w:val="0"/>
                <w:sz w:val="28"/>
                <w:szCs w:val="28"/>
                <w:u w:val="none"/>
                <w:lang w:val="en-US" w:eastAsia="zh-CN" w:bidi="ar"/>
              </w:rPr>
              <w:t>19</w:t>
            </w:r>
            <w:r>
              <w:rPr>
                <w:rFonts w:hint="eastAsia" w:ascii="Times New Roman" w:hAnsi="Times New Roman" w:cs="Times New Roman"/>
                <w:i w:val="0"/>
                <w:iCs w:val="0"/>
                <w:color w:val="auto"/>
                <w:kern w:val="0"/>
                <w:sz w:val="28"/>
                <w:szCs w:val="28"/>
                <w:u w:val="none"/>
                <w:lang w:val="en-US" w:eastAsia="zh-CN" w:bidi="ar"/>
              </w:rPr>
              <w:t>2</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行政规范性文件</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color w:val="auto"/>
                <w:kern w:val="0"/>
                <w:sz w:val="28"/>
                <w:szCs w:val="28"/>
                <w:lang w:val="en-US" w:eastAsia="zh-CN"/>
              </w:rPr>
            </w:pPr>
            <w:r>
              <w:rPr>
                <w:rFonts w:hint="default" w:ascii="Times New Roman" w:hAnsi="Times New Roman" w:cs="Times New Roman"/>
                <w:i w:val="0"/>
                <w:iCs w:val="0"/>
                <w:color w:val="auto"/>
                <w:kern w:val="0"/>
                <w:sz w:val="28"/>
                <w:szCs w:val="28"/>
                <w:u w:val="none"/>
                <w:lang w:val="en-US" w:eastAsia="zh-CN" w:bidi="ar"/>
              </w:rPr>
              <w:t>3727</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3343</w:t>
            </w:r>
          </w:p>
        </w:tc>
        <w:tc>
          <w:tcPr>
            <w:tcW w:w="213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13318</w:t>
            </w:r>
          </w:p>
        </w:tc>
      </w:tr>
      <w:tr>
        <w:tblPrEx>
          <w:tblCellMar>
            <w:top w:w="0" w:type="dxa"/>
            <w:left w:w="0" w:type="dxa"/>
            <w:bottom w:w="0" w:type="dxa"/>
            <w:right w:w="0" w:type="dxa"/>
          </w:tblCellMar>
        </w:tblPrEx>
        <w:trPr>
          <w:trHeight w:val="314" w:hRule="atLeast"/>
        </w:trPr>
        <w:tc>
          <w:tcPr>
            <w:tcW w:w="8556"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第二十条第（五）项</w:t>
            </w:r>
          </w:p>
        </w:tc>
      </w:tr>
      <w:tr>
        <w:tblPrEx>
          <w:tblCellMar>
            <w:top w:w="0" w:type="dxa"/>
            <w:left w:w="0" w:type="dxa"/>
            <w:bottom w:w="0" w:type="dxa"/>
            <w:right w:w="0" w:type="dxa"/>
          </w:tblCellMar>
        </w:tblPrEx>
        <w:trPr>
          <w:trHeight w:val="347" w:hRule="atLeast"/>
        </w:trPr>
        <w:tc>
          <w:tcPr>
            <w:tcW w:w="2139" w:type="dxa"/>
            <w:tcBorders>
              <w:top w:val="single" w:color="auto" w:sz="8"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信息内容</w:t>
            </w:r>
          </w:p>
        </w:tc>
        <w:tc>
          <w:tcPr>
            <w:tcW w:w="6417" w:type="dxa"/>
            <w:gridSpan w:val="3"/>
            <w:tcBorders>
              <w:top w:val="single" w:color="auto" w:sz="8"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本年处理决定数量</w:t>
            </w:r>
          </w:p>
        </w:tc>
      </w:tr>
      <w:tr>
        <w:tblPrEx>
          <w:tblCellMar>
            <w:top w:w="0" w:type="dxa"/>
            <w:left w:w="0" w:type="dxa"/>
            <w:bottom w:w="0" w:type="dxa"/>
            <w:right w:w="0" w:type="dxa"/>
          </w:tblCellMar>
        </w:tblPrEx>
        <w:trPr>
          <w:trHeight w:val="314" w:hRule="atLeast"/>
        </w:trPr>
        <w:tc>
          <w:tcPr>
            <w:tcW w:w="2139" w:type="dxa"/>
            <w:tcBorders>
              <w:top w:val="single" w:color="auto" w:sz="4" w:space="0"/>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行政许可</w:t>
            </w:r>
          </w:p>
        </w:tc>
        <w:tc>
          <w:tcPr>
            <w:tcW w:w="6417" w:type="dxa"/>
            <w:gridSpan w:val="3"/>
            <w:tcBorders>
              <w:top w:val="single" w:color="auto" w:sz="4" w:space="0"/>
              <w:left w:val="single" w:color="auto" w:sz="4"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宋体" w:hAnsi="宋体" w:eastAsia="宋体" w:cs="宋体"/>
                <w:i w:val="0"/>
                <w:iCs w:val="0"/>
                <w:color w:val="FF0000"/>
                <w:kern w:val="2"/>
                <w:sz w:val="28"/>
                <w:szCs w:val="28"/>
                <w:u w:val="none"/>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11861331</w:t>
            </w:r>
          </w:p>
        </w:tc>
      </w:tr>
      <w:tr>
        <w:tblPrEx>
          <w:tblCellMar>
            <w:top w:w="0" w:type="dxa"/>
            <w:left w:w="0" w:type="dxa"/>
            <w:bottom w:w="0" w:type="dxa"/>
            <w:right w:w="0" w:type="dxa"/>
          </w:tblCellMar>
        </w:tblPrEx>
        <w:trPr>
          <w:trHeight w:val="314" w:hRule="atLeast"/>
        </w:trPr>
        <w:tc>
          <w:tcPr>
            <w:tcW w:w="8556"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第二十条第（六）项</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信息内容</w:t>
            </w:r>
          </w:p>
        </w:tc>
        <w:tc>
          <w:tcPr>
            <w:tcW w:w="6417" w:type="dxa"/>
            <w:gridSpan w:val="3"/>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本年处理决定数量</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行政处罚</w:t>
            </w:r>
          </w:p>
        </w:tc>
        <w:tc>
          <w:tcPr>
            <w:tcW w:w="6417" w:type="dxa"/>
            <w:gridSpan w:val="3"/>
            <w:tcBorders>
              <w:top w:val="nil"/>
              <w:left w:val="nil"/>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i w:val="0"/>
                <w:iCs w:val="0"/>
                <w:color w:val="auto"/>
                <w:kern w:val="2"/>
                <w:sz w:val="28"/>
                <w:szCs w:val="28"/>
                <w:u w:val="none"/>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6485945</w:t>
            </w:r>
          </w:p>
        </w:tc>
      </w:tr>
      <w:tr>
        <w:tblPrEx>
          <w:tblCellMar>
            <w:top w:w="0" w:type="dxa"/>
            <w:left w:w="0" w:type="dxa"/>
            <w:bottom w:w="0" w:type="dxa"/>
            <w:right w:w="0" w:type="dxa"/>
          </w:tblCellMar>
        </w:tblPrEx>
        <w:trPr>
          <w:trHeight w:val="314" w:hRule="atLeast"/>
        </w:trPr>
        <w:tc>
          <w:tcPr>
            <w:tcW w:w="2139"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行政强制</w:t>
            </w:r>
          </w:p>
        </w:tc>
        <w:tc>
          <w:tcPr>
            <w:tcW w:w="6417" w:type="dxa"/>
            <w:gridSpan w:val="3"/>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i w:val="0"/>
                <w:iCs w:val="0"/>
                <w:color w:val="auto"/>
                <w:kern w:val="2"/>
                <w:sz w:val="28"/>
                <w:szCs w:val="28"/>
                <w:u w:val="none"/>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235932</w:t>
            </w:r>
          </w:p>
        </w:tc>
      </w:tr>
      <w:tr>
        <w:tblPrEx>
          <w:tblCellMar>
            <w:top w:w="0" w:type="dxa"/>
            <w:left w:w="0" w:type="dxa"/>
            <w:bottom w:w="0" w:type="dxa"/>
            <w:right w:w="0" w:type="dxa"/>
          </w:tblCellMar>
        </w:tblPrEx>
        <w:trPr>
          <w:trHeight w:val="314" w:hRule="atLeast"/>
        </w:trPr>
        <w:tc>
          <w:tcPr>
            <w:tcW w:w="8556" w:type="dxa"/>
            <w:gridSpan w:val="4"/>
            <w:tcBorders>
              <w:top w:val="single" w:color="auto" w:sz="4"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第二十条第（八）项</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信息内容</w:t>
            </w:r>
          </w:p>
        </w:tc>
        <w:tc>
          <w:tcPr>
            <w:tcW w:w="6417"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ascii="宋体" w:hAnsi="宋体" w:cs="宋体"/>
                <w:kern w:val="0"/>
                <w:sz w:val="28"/>
                <w:szCs w:val="28"/>
              </w:rPr>
            </w:pPr>
            <w:r>
              <w:rPr>
                <w:rFonts w:hint="eastAsia" w:ascii="宋体" w:hAnsi="宋体" w:cs="宋体"/>
                <w:color w:val="000000"/>
                <w:kern w:val="0"/>
                <w:sz w:val="28"/>
                <w:szCs w:val="28"/>
              </w:rPr>
              <w:t>本年收费金额（单位：万元）</w:t>
            </w:r>
          </w:p>
        </w:tc>
      </w:tr>
      <w:tr>
        <w:tblPrEx>
          <w:tblCellMar>
            <w:top w:w="0" w:type="dxa"/>
            <w:left w:w="0" w:type="dxa"/>
            <w:bottom w:w="0" w:type="dxa"/>
            <w:right w:w="0" w:type="dxa"/>
          </w:tblCellMar>
        </w:tblPrEx>
        <w:trPr>
          <w:trHeight w:val="314" w:hRule="atLeast"/>
        </w:trPr>
        <w:tc>
          <w:tcPr>
            <w:tcW w:w="2139"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ascii="宋体" w:hAnsi="宋体" w:cs="宋体"/>
                <w:kern w:val="0"/>
                <w:sz w:val="28"/>
                <w:szCs w:val="28"/>
              </w:rPr>
            </w:pPr>
            <w:r>
              <w:rPr>
                <w:rFonts w:hint="eastAsia" w:ascii="宋体" w:hAnsi="宋体" w:cs="宋体"/>
                <w:color w:val="000000"/>
                <w:kern w:val="0"/>
                <w:sz w:val="28"/>
                <w:szCs w:val="28"/>
              </w:rPr>
              <w:t>行政事业性收费</w:t>
            </w:r>
          </w:p>
        </w:tc>
        <w:tc>
          <w:tcPr>
            <w:tcW w:w="6417"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宋体" w:hAnsi="宋体" w:eastAsia="宋体" w:cs="宋体"/>
                <w:i w:val="0"/>
                <w:iCs w:val="0"/>
                <w:color w:val="FF0000"/>
                <w:kern w:val="2"/>
                <w:sz w:val="28"/>
                <w:szCs w:val="28"/>
                <w:u w:val="none"/>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1929348.48</w:t>
            </w:r>
            <w:r>
              <w:rPr>
                <w:rFonts w:hint="default" w:ascii="Times New Roman" w:hAnsi="Times New Roman" w:cs="Times New Roman"/>
                <w:i w:val="0"/>
                <w:iCs w:val="0"/>
                <w:color w:val="auto"/>
                <w:kern w:val="0"/>
                <w:sz w:val="28"/>
                <w:szCs w:val="28"/>
                <w:u w:val="none"/>
                <w:lang w:val="en-US" w:eastAsia="zh-CN" w:bidi="ar"/>
              </w:rPr>
              <w:t>3</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600" w:lineRule="exact"/>
        <w:ind w:firstLine="720" w:firstLineChars="200"/>
        <w:textAlignment w:val="auto"/>
        <w:rPr>
          <w:rFonts w:hint="eastAsia" w:ascii="黑体" w:hAnsi="黑体" w:eastAsia="黑体" w:cs="黑体"/>
          <w:b w:val="0"/>
          <w:bCs w:val="0"/>
          <w:color w:val="auto"/>
          <w:kern w:val="0"/>
          <w:sz w:val="36"/>
          <w:szCs w:val="36"/>
        </w:rPr>
      </w:pPr>
      <w:r>
        <w:rPr>
          <w:rFonts w:hint="eastAsia" w:ascii="黑体" w:hAnsi="黑体" w:eastAsia="黑体" w:cs="黑体"/>
          <w:b w:val="0"/>
          <w:bCs w:val="0"/>
          <w:color w:val="auto"/>
          <w:kern w:val="0"/>
          <w:sz w:val="36"/>
          <w:szCs w:val="36"/>
        </w:rPr>
        <w:t>三、收到和处理政府信息公开申请情况</w:t>
      </w:r>
    </w:p>
    <w:tbl>
      <w:tblPr>
        <w:tblStyle w:val="7"/>
        <w:tblW w:w="9571" w:type="dxa"/>
        <w:jc w:val="center"/>
        <w:tblLayout w:type="fixed"/>
        <w:tblCellMar>
          <w:top w:w="0" w:type="dxa"/>
          <w:left w:w="0" w:type="dxa"/>
          <w:bottom w:w="0" w:type="dxa"/>
          <w:right w:w="0" w:type="dxa"/>
        </w:tblCellMar>
      </w:tblPr>
      <w:tblGrid>
        <w:gridCol w:w="939"/>
        <w:gridCol w:w="825"/>
        <w:gridCol w:w="2988"/>
        <w:gridCol w:w="825"/>
        <w:gridCol w:w="707"/>
        <w:gridCol w:w="616"/>
        <w:gridCol w:w="616"/>
        <w:gridCol w:w="616"/>
        <w:gridCol w:w="616"/>
        <w:gridCol w:w="823"/>
      </w:tblGrid>
      <w:tr>
        <w:tblPrEx>
          <w:tblCellMar>
            <w:top w:w="0" w:type="dxa"/>
            <w:left w:w="0" w:type="dxa"/>
            <w:bottom w:w="0" w:type="dxa"/>
            <w:right w:w="0" w:type="dxa"/>
          </w:tblCellMar>
        </w:tblPrEx>
        <w:trPr>
          <w:trHeight w:val="259" w:hRule="atLeast"/>
          <w:jc w:val="center"/>
        </w:trPr>
        <w:tc>
          <w:tcPr>
            <w:tcW w:w="4752" w:type="dxa"/>
            <w:gridSpan w:val="3"/>
            <w:vMerge w:val="restart"/>
            <w:tcBorders>
              <w:top w:val="single" w:color="auto" w:sz="8"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宋体" w:hAnsi="宋体" w:cs="宋体"/>
                <w:kern w:val="0"/>
                <w:sz w:val="28"/>
                <w:szCs w:val="28"/>
              </w:rPr>
            </w:pPr>
            <w:r>
              <w:rPr>
                <w:rFonts w:hint="eastAsia" w:ascii="楷体" w:hAnsi="楷体" w:eastAsia="楷体" w:cs="宋体"/>
                <w:kern w:val="0"/>
                <w:sz w:val="28"/>
                <w:szCs w:val="28"/>
              </w:rPr>
              <w:t>（本列数据的勾稽关系为：第一项加第二项之和，等于第三项加第四项之和）</w:t>
            </w:r>
          </w:p>
        </w:tc>
        <w:tc>
          <w:tcPr>
            <w:tcW w:w="4819" w:type="dxa"/>
            <w:gridSpan w:val="7"/>
            <w:tcBorders>
              <w:top w:val="single" w:color="auto" w:sz="8"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申请人情况</w:t>
            </w:r>
          </w:p>
        </w:tc>
      </w:tr>
      <w:tr>
        <w:tblPrEx>
          <w:tblCellMar>
            <w:top w:w="0" w:type="dxa"/>
            <w:left w:w="0" w:type="dxa"/>
            <w:bottom w:w="0" w:type="dxa"/>
            <w:right w:w="0" w:type="dxa"/>
          </w:tblCellMar>
        </w:tblPrEx>
        <w:trPr>
          <w:trHeight w:val="259" w:hRule="atLeast"/>
          <w:jc w:val="center"/>
        </w:trPr>
        <w:tc>
          <w:tcPr>
            <w:tcW w:w="4752"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自然人</w:t>
            </w:r>
          </w:p>
        </w:tc>
        <w:tc>
          <w:tcPr>
            <w:tcW w:w="3171" w:type="dxa"/>
            <w:gridSpan w:val="5"/>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法人或其他组织</w:t>
            </w:r>
          </w:p>
        </w:tc>
        <w:tc>
          <w:tcPr>
            <w:tcW w:w="823" w:type="dxa"/>
            <w:vMerge w:val="restart"/>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总计</w:t>
            </w:r>
          </w:p>
        </w:tc>
      </w:tr>
      <w:tr>
        <w:tblPrEx>
          <w:tblCellMar>
            <w:top w:w="0" w:type="dxa"/>
            <w:left w:w="0" w:type="dxa"/>
            <w:bottom w:w="0" w:type="dxa"/>
            <w:right w:w="0" w:type="dxa"/>
          </w:tblCellMar>
        </w:tblPrEx>
        <w:trPr>
          <w:trHeight w:val="259" w:hRule="atLeast"/>
          <w:jc w:val="center"/>
        </w:trPr>
        <w:tc>
          <w:tcPr>
            <w:tcW w:w="4752" w:type="dxa"/>
            <w:gridSpan w:val="3"/>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商业</w:t>
            </w:r>
          </w:p>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企业</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科研</w:t>
            </w:r>
          </w:p>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机构</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社会公益组织</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法律服务机构</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其他</w:t>
            </w:r>
          </w:p>
        </w:tc>
        <w:tc>
          <w:tcPr>
            <w:tcW w:w="823" w:type="dxa"/>
            <w:vMerge w:val="continue"/>
            <w:tcBorders>
              <w:top w:val="single" w:color="auto" w:sz="4" w:space="0"/>
              <w:left w:val="single" w:color="auto" w:sz="4" w:space="0"/>
              <w:bottom w:val="single" w:color="auto" w:sz="4"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r>
      <w:tr>
        <w:tblPrEx>
          <w:tblCellMar>
            <w:top w:w="0" w:type="dxa"/>
            <w:left w:w="0" w:type="dxa"/>
            <w:bottom w:w="0" w:type="dxa"/>
            <w:right w:w="0" w:type="dxa"/>
          </w:tblCellMar>
        </w:tblPrEx>
        <w:trPr>
          <w:trHeight w:val="259" w:hRule="atLeast"/>
          <w:jc w:val="center"/>
        </w:trPr>
        <w:tc>
          <w:tcPr>
            <w:tcW w:w="4752" w:type="dxa"/>
            <w:gridSpan w:val="3"/>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一、本年新收政府信息公开申请数量</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10153</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931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39</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86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138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59</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11406</w:t>
            </w:r>
          </w:p>
        </w:tc>
      </w:tr>
      <w:tr>
        <w:tblPrEx>
          <w:tblCellMar>
            <w:top w:w="0" w:type="dxa"/>
            <w:left w:w="0" w:type="dxa"/>
            <w:bottom w:w="0" w:type="dxa"/>
            <w:right w:w="0" w:type="dxa"/>
          </w:tblCellMar>
        </w:tblPrEx>
        <w:trPr>
          <w:trHeight w:val="259" w:hRule="atLeast"/>
          <w:jc w:val="center"/>
        </w:trPr>
        <w:tc>
          <w:tcPr>
            <w:tcW w:w="4752" w:type="dxa"/>
            <w:gridSpan w:val="3"/>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highlight w:val="none"/>
              </w:rPr>
            </w:pPr>
            <w:r>
              <w:rPr>
                <w:rFonts w:hint="eastAsia" w:ascii="宋体" w:hAnsi="宋体" w:cs="宋体"/>
                <w:kern w:val="0"/>
                <w:sz w:val="28"/>
                <w:szCs w:val="28"/>
                <w:highlight w:val="none"/>
              </w:rPr>
              <w:t>二、上年结转政府信息公开申请数量</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162</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i w:val="0"/>
                <w:iCs w:val="0"/>
                <w:color w:val="auto"/>
                <w:kern w:val="0"/>
                <w:sz w:val="28"/>
                <w:szCs w:val="28"/>
                <w:u w:val="none"/>
                <w:lang w:val="en-US" w:eastAsia="zh-CN" w:bidi="ar"/>
              </w:rPr>
            </w:pPr>
            <w:r>
              <w:rPr>
                <w:rFonts w:hint="default" w:ascii="Times New Roman" w:hAnsi="Times New Roman" w:cs="Times New Roman"/>
                <w:i w:val="0"/>
                <w:iCs w:val="0"/>
                <w:color w:val="auto"/>
                <w:kern w:val="0"/>
                <w:sz w:val="28"/>
                <w:szCs w:val="28"/>
                <w:u w:val="none"/>
                <w:lang w:val="en-US" w:eastAsia="zh-CN" w:bidi="ar"/>
              </w:rPr>
              <w:t>177</w:t>
            </w:r>
          </w:p>
        </w:tc>
      </w:tr>
      <w:tr>
        <w:tblPrEx>
          <w:tblCellMar>
            <w:top w:w="0" w:type="dxa"/>
            <w:left w:w="0" w:type="dxa"/>
            <w:bottom w:w="0" w:type="dxa"/>
            <w:right w:w="0" w:type="dxa"/>
          </w:tblCellMar>
        </w:tblPrEx>
        <w:trPr>
          <w:trHeight w:val="259" w:hRule="atLeast"/>
          <w:jc w:val="center"/>
        </w:trPr>
        <w:tc>
          <w:tcPr>
            <w:tcW w:w="939" w:type="dxa"/>
            <w:vMerge w:val="restart"/>
            <w:tcBorders>
              <w:top w:val="single" w:color="auto" w:sz="4" w:space="0"/>
              <w:left w:val="single" w:color="auto" w:sz="8"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三、本年度办理结果</w:t>
            </w:r>
          </w:p>
        </w:tc>
        <w:tc>
          <w:tcPr>
            <w:tcW w:w="3813"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（一）予以公开</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5262</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817</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61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118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45</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6338</w:t>
            </w:r>
          </w:p>
        </w:tc>
      </w:tr>
      <w:tr>
        <w:tblPrEx>
          <w:tblCellMar>
            <w:top w:w="0" w:type="dxa"/>
            <w:left w:w="0" w:type="dxa"/>
            <w:bottom w:w="0" w:type="dxa"/>
            <w:right w:w="0" w:type="dxa"/>
          </w:tblCellMar>
        </w:tblPrEx>
        <w:trPr>
          <w:trHeight w:val="53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3813"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（二）部分公开</w:t>
            </w:r>
            <w:r>
              <w:rPr>
                <w:rFonts w:hint="eastAsia" w:ascii="楷体" w:hAnsi="楷体" w:eastAsia="楷体" w:cs="宋体"/>
                <w:kern w:val="0"/>
                <w:sz w:val="28"/>
                <w:szCs w:val="28"/>
              </w:rPr>
              <w:t>（区分处理的，只计这一情形，不计其他情形）</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1056</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14</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1105</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（三）不予公开</w:t>
            </w: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1.属于国家秘密</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79</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80</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2.其他法律行政法规禁止公开</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27</w:t>
            </w:r>
          </w:p>
        </w:tc>
      </w:tr>
      <w:tr>
        <w:tblPrEx>
          <w:tblCellMar>
            <w:top w:w="0" w:type="dxa"/>
            <w:left w:w="0" w:type="dxa"/>
            <w:bottom w:w="0" w:type="dxa"/>
            <w:right w:w="0" w:type="dxa"/>
          </w:tblCellMar>
        </w:tblPrEx>
        <w:trPr>
          <w:trHeight w:val="284"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3.危及“三安全一稳定”</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14</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14</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4.保护第三方合法权益</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196</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206</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5.属于三类内部事务信息</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106</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6.属于四类过程性信息</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83</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88</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7.属于行政执法案卷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52</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53</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default" w:ascii="Times New Roman" w:hAnsi="Times New Roman" w:eastAsia="宋体" w:cs="Times New Roman"/>
                <w:kern w:val="0"/>
                <w:sz w:val="28"/>
                <w:szCs w:val="28"/>
              </w:rPr>
            </w:pPr>
            <w:r>
              <w:rPr>
                <w:rFonts w:hint="eastAsia" w:ascii="Times New Roman" w:hAnsi="Times New Roman" w:eastAsia="宋体" w:cs="Times New Roman"/>
                <w:kern w:val="0"/>
                <w:sz w:val="28"/>
                <w:szCs w:val="28"/>
              </w:rPr>
              <w:t>8.属于行政查询事项</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75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76</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（四）无法提供</w:t>
            </w: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Times New Roman" w:hAnsi="Times New Roman" w:eastAsia="宋体" w:cs="Times New Roman"/>
                <w:kern w:val="0"/>
                <w:sz w:val="28"/>
                <w:szCs w:val="28"/>
              </w:rPr>
              <w:t>1.本</w:t>
            </w:r>
            <w:r>
              <w:rPr>
                <w:rFonts w:hint="eastAsia" w:ascii="宋体" w:hAnsi="宋体" w:cs="宋体"/>
                <w:kern w:val="0"/>
                <w:sz w:val="28"/>
                <w:szCs w:val="28"/>
              </w:rPr>
              <w:t>机关不掌握相关政府信息</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2166</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3</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15</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6</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2239</w:t>
            </w:r>
          </w:p>
        </w:tc>
      </w:tr>
      <w:tr>
        <w:tblPrEx>
          <w:tblCellMar>
            <w:top w:w="0" w:type="dxa"/>
            <w:left w:w="0" w:type="dxa"/>
            <w:bottom w:w="0" w:type="dxa"/>
            <w:right w:w="0" w:type="dxa"/>
          </w:tblCellMar>
        </w:tblPrEx>
        <w:trPr>
          <w:trHeight w:val="284"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Times New Roman" w:hAnsi="Times New Roman" w:eastAsia="宋体" w:cs="Times New Roman"/>
                <w:kern w:val="0"/>
                <w:sz w:val="28"/>
                <w:szCs w:val="28"/>
              </w:rPr>
              <w:t>2.没</w:t>
            </w:r>
            <w:r>
              <w:rPr>
                <w:rFonts w:hint="eastAsia" w:ascii="宋体" w:hAnsi="宋体" w:cs="宋体"/>
                <w:kern w:val="0"/>
                <w:sz w:val="28"/>
                <w:szCs w:val="28"/>
              </w:rPr>
              <w:t>有现成信息需要另行制作</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70</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71</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Times New Roman" w:hAnsi="Times New Roman" w:eastAsia="宋体" w:cs="Times New Roman"/>
                <w:kern w:val="0"/>
                <w:sz w:val="28"/>
                <w:szCs w:val="28"/>
              </w:rPr>
              <w:t>3.补</w:t>
            </w:r>
            <w:r>
              <w:rPr>
                <w:rFonts w:hint="eastAsia" w:ascii="宋体" w:hAnsi="宋体" w:cs="宋体"/>
                <w:kern w:val="0"/>
                <w:sz w:val="28"/>
                <w:szCs w:val="28"/>
              </w:rPr>
              <w:t>正后申请内容仍不明确</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20</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21</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（五）不予处理</w:t>
            </w: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default" w:ascii="Times New Roman" w:hAnsi="Times New Roman" w:cs="Times New Roman"/>
                <w:kern w:val="0"/>
                <w:sz w:val="28"/>
                <w:szCs w:val="28"/>
              </w:rPr>
              <w:t>1.</w:t>
            </w:r>
            <w:r>
              <w:rPr>
                <w:rFonts w:hint="eastAsia" w:ascii="宋体" w:hAnsi="宋体" w:cs="宋体"/>
                <w:kern w:val="0"/>
                <w:sz w:val="28"/>
                <w:szCs w:val="28"/>
              </w:rPr>
              <w:t>信访举报投诉类申请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191</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191</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Times New Roman" w:hAnsi="Times New Roman" w:eastAsia="宋体" w:cs="Times New Roman"/>
                <w:kern w:val="0"/>
                <w:sz w:val="28"/>
                <w:szCs w:val="28"/>
              </w:rPr>
              <w:t>2.</w:t>
            </w:r>
            <w:r>
              <w:rPr>
                <w:rFonts w:hint="eastAsia" w:ascii="宋体" w:hAnsi="宋体" w:cs="宋体"/>
                <w:kern w:val="0"/>
                <w:sz w:val="28"/>
                <w:szCs w:val="28"/>
              </w:rPr>
              <w:t>重复申请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193</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195</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default" w:ascii="Times New Roman" w:hAnsi="Times New Roman" w:cs="Times New Roman"/>
                <w:kern w:val="0"/>
                <w:sz w:val="28"/>
                <w:szCs w:val="28"/>
              </w:rPr>
              <w:t>3.</w:t>
            </w:r>
            <w:r>
              <w:rPr>
                <w:rFonts w:hint="eastAsia" w:ascii="宋体" w:hAnsi="宋体" w:cs="宋体"/>
                <w:kern w:val="0"/>
                <w:sz w:val="28"/>
                <w:szCs w:val="28"/>
              </w:rPr>
              <w:t>要求提供公开出版物</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w:t>
            </w:r>
          </w:p>
        </w:tc>
      </w:tr>
      <w:tr>
        <w:tblPrEx>
          <w:tblCellMar>
            <w:top w:w="0" w:type="dxa"/>
            <w:left w:w="0" w:type="dxa"/>
            <w:bottom w:w="0" w:type="dxa"/>
            <w:right w:w="0" w:type="dxa"/>
          </w:tblCellMar>
        </w:tblPrEx>
        <w:trPr>
          <w:trHeight w:val="27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eastAsia="宋体" w:cs="宋体"/>
                <w:kern w:val="0"/>
                <w:sz w:val="28"/>
                <w:szCs w:val="28"/>
                <w:lang w:val="en-US" w:eastAsia="zh-CN"/>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eastAsia="宋体" w:cs="宋体"/>
                <w:kern w:val="0"/>
                <w:sz w:val="28"/>
                <w:szCs w:val="28"/>
                <w:lang w:val="en-US" w:eastAsia="zh-CN"/>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top"/>
          </w:tcPr>
          <w:p>
            <w:pPr>
              <w:keepNext w:val="0"/>
              <w:keepLines w:val="0"/>
              <w:pageBreakBefore w:val="0"/>
              <w:widowControl/>
              <w:kinsoku/>
              <w:wordWrap/>
              <w:overflowPunct/>
              <w:topLinePunct w:val="0"/>
              <w:autoSpaceDE/>
              <w:autoSpaceDN/>
              <w:bidi w:val="0"/>
              <w:adjustRightInd/>
              <w:snapToGrid/>
              <w:spacing w:line="440" w:lineRule="exact"/>
              <w:jc w:val="left"/>
              <w:rPr>
                <w:rFonts w:hint="eastAsia" w:ascii="宋体" w:hAnsi="宋体" w:eastAsia="宋体" w:cs="宋体"/>
                <w:kern w:val="0"/>
                <w:sz w:val="28"/>
                <w:szCs w:val="28"/>
                <w:lang w:val="en-US" w:eastAsia="zh-CN"/>
              </w:rPr>
            </w:pPr>
            <w:r>
              <w:rPr>
                <w:rFonts w:hint="eastAsia" w:ascii="Times New Roman" w:hAnsi="Times New Roman" w:eastAsia="宋体" w:cs="Times New Roman"/>
                <w:kern w:val="0"/>
                <w:sz w:val="28"/>
                <w:szCs w:val="28"/>
                <w:lang w:val="en-US" w:eastAsia="zh-CN"/>
              </w:rPr>
              <w:t>4.无</w:t>
            </w:r>
            <w:r>
              <w:rPr>
                <w:rFonts w:hint="eastAsia" w:ascii="宋体" w:hAnsi="宋体" w:eastAsia="宋体" w:cs="宋体"/>
                <w:kern w:val="0"/>
                <w:sz w:val="28"/>
                <w:szCs w:val="28"/>
                <w:lang w:val="en-US" w:eastAsia="zh-CN"/>
              </w:rPr>
              <w:t>正当理由大量反复申请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3</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9</w:t>
            </w:r>
          </w:p>
        </w:tc>
      </w:tr>
      <w:tr>
        <w:tblPrEx>
          <w:tblCellMar>
            <w:top w:w="0" w:type="dxa"/>
            <w:left w:w="0" w:type="dxa"/>
            <w:bottom w:w="0" w:type="dxa"/>
            <w:right w:w="0" w:type="dxa"/>
          </w:tblCellMar>
        </w:tblPrEx>
        <w:trPr>
          <w:trHeight w:val="641"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rPr>
                <w:rFonts w:ascii="宋体" w:hAnsi="宋体" w:cs="宋体"/>
                <w:kern w:val="0"/>
                <w:sz w:val="28"/>
                <w:szCs w:val="28"/>
              </w:rPr>
            </w:pPr>
            <w:r>
              <w:rPr>
                <w:rFonts w:hint="eastAsia" w:ascii="Times New Roman" w:hAnsi="Times New Roman" w:eastAsia="宋体" w:cs="Times New Roman"/>
                <w:kern w:val="0"/>
                <w:sz w:val="28"/>
                <w:szCs w:val="28"/>
              </w:rPr>
              <w:t>5.要</w:t>
            </w:r>
            <w:r>
              <w:rPr>
                <w:rFonts w:hint="eastAsia" w:ascii="宋体" w:hAnsi="宋体" w:cs="宋体"/>
                <w:kern w:val="0"/>
                <w:sz w:val="28"/>
                <w:szCs w:val="28"/>
              </w:rPr>
              <w:t>求行政机关确认或重新出具已获取信息</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13</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13</w:t>
            </w:r>
          </w:p>
        </w:tc>
      </w:tr>
      <w:tr>
        <w:tblPrEx>
          <w:tblCellMar>
            <w:top w:w="0" w:type="dxa"/>
            <w:left w:w="0" w:type="dxa"/>
            <w:bottom w:w="0" w:type="dxa"/>
            <w:right w:w="0" w:type="dxa"/>
          </w:tblCellMar>
        </w:tblPrEx>
        <w:trPr>
          <w:trHeight w:val="790"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restart"/>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（六）其他处理</w:t>
            </w: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rPr>
                <w:rFonts w:ascii="宋体" w:hAnsi="宋体" w:cs="宋体"/>
                <w:kern w:val="0"/>
                <w:sz w:val="28"/>
                <w:szCs w:val="28"/>
              </w:rPr>
            </w:pPr>
            <w:r>
              <w:rPr>
                <w:rFonts w:hint="eastAsia" w:ascii="Times New Roman" w:hAnsi="Times New Roman" w:eastAsia="宋体" w:cs="Times New Roman"/>
                <w:kern w:val="0"/>
                <w:sz w:val="28"/>
                <w:szCs w:val="28"/>
              </w:rPr>
              <w:t>1.申</w:t>
            </w:r>
            <w:r>
              <w:rPr>
                <w:rFonts w:hint="eastAsia" w:ascii="宋体" w:hAnsi="宋体" w:cs="宋体"/>
                <w:kern w:val="0"/>
                <w:sz w:val="28"/>
                <w:szCs w:val="28"/>
              </w:rPr>
              <w:t>请人无正当理由逾期不补正、行政机关不再处理其政府信息公开申请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49</w:t>
            </w:r>
          </w:p>
        </w:tc>
      </w:tr>
      <w:tr>
        <w:tblPrEx>
          <w:tblCellMar>
            <w:top w:w="0" w:type="dxa"/>
            <w:left w:w="0" w:type="dxa"/>
            <w:bottom w:w="0" w:type="dxa"/>
            <w:right w:w="0" w:type="dxa"/>
          </w:tblCellMar>
        </w:tblPrEx>
        <w:trPr>
          <w:trHeight w:val="790"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rPr>
                <w:rFonts w:ascii="宋体" w:hAnsi="宋体" w:cs="宋体"/>
                <w:kern w:val="0"/>
                <w:sz w:val="28"/>
                <w:szCs w:val="28"/>
              </w:rPr>
            </w:pPr>
            <w:r>
              <w:rPr>
                <w:rFonts w:hint="eastAsia" w:ascii="Times New Roman" w:hAnsi="Times New Roman" w:eastAsia="宋体" w:cs="Times New Roman"/>
                <w:kern w:val="0"/>
                <w:sz w:val="28"/>
                <w:szCs w:val="28"/>
              </w:rPr>
              <w:t>2.申</w:t>
            </w:r>
            <w:r>
              <w:rPr>
                <w:rFonts w:hint="eastAsia" w:ascii="宋体" w:hAnsi="宋体" w:cs="宋体"/>
                <w:kern w:val="0"/>
                <w:sz w:val="28"/>
                <w:szCs w:val="28"/>
              </w:rPr>
              <w:t>请人逾期未按收费通知要求缴纳费用、行政机关不再处理其政府信息公开申请</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5</w:t>
            </w:r>
          </w:p>
        </w:tc>
      </w:tr>
      <w:tr>
        <w:tblPrEx>
          <w:tblCellMar>
            <w:top w:w="0" w:type="dxa"/>
            <w:left w:w="0" w:type="dxa"/>
            <w:bottom w:w="0" w:type="dxa"/>
            <w:right w:w="0" w:type="dxa"/>
          </w:tblCellMar>
        </w:tblPrEx>
        <w:trPr>
          <w:trHeight w:val="540"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8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2988"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Times New Roman" w:hAnsi="Times New Roman" w:eastAsia="宋体" w:cs="Times New Roman"/>
                <w:kern w:val="0"/>
                <w:sz w:val="28"/>
                <w:szCs w:val="28"/>
              </w:rPr>
              <w:t>3.其</w:t>
            </w:r>
            <w:r>
              <w:rPr>
                <w:rFonts w:hint="eastAsia" w:ascii="宋体" w:hAnsi="宋体" w:cs="宋体"/>
                <w:kern w:val="0"/>
                <w:sz w:val="28"/>
                <w:szCs w:val="28"/>
              </w:rPr>
              <w:t>他</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451</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26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5</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eastAsia="宋体" w:cs="Times New Roman"/>
                <w:color w:val="auto"/>
                <w:kern w:val="0"/>
                <w:sz w:val="28"/>
                <w:szCs w:val="28"/>
                <w:lang w:val="en-US" w:eastAsia="zh-CN" w:bidi="ar-SA"/>
              </w:rPr>
            </w:pPr>
            <w:r>
              <w:rPr>
                <w:rFonts w:hint="default" w:ascii="Times New Roman" w:hAnsi="Times New Roman" w:eastAsia="宋体" w:cs="Times New Roman"/>
                <w:i w:val="0"/>
                <w:iCs w:val="0"/>
                <w:color w:val="auto"/>
                <w:kern w:val="0"/>
                <w:sz w:val="28"/>
                <w:szCs w:val="28"/>
                <w:u w:val="none"/>
                <w:lang w:val="en-US" w:eastAsia="zh-CN" w:bidi="ar"/>
              </w:rPr>
              <w:t>482</w:t>
            </w:r>
          </w:p>
        </w:tc>
      </w:tr>
      <w:tr>
        <w:tblPrEx>
          <w:tblCellMar>
            <w:top w:w="0" w:type="dxa"/>
            <w:left w:w="0" w:type="dxa"/>
            <w:bottom w:w="0" w:type="dxa"/>
            <w:right w:w="0" w:type="dxa"/>
          </w:tblCellMar>
        </w:tblPrEx>
        <w:trPr>
          <w:trHeight w:val="490" w:hRule="atLeast"/>
          <w:jc w:val="center"/>
        </w:trPr>
        <w:tc>
          <w:tcPr>
            <w:tcW w:w="939"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3813" w:type="dxa"/>
            <w:gridSpan w:val="2"/>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（七）总计</w:t>
            </w:r>
          </w:p>
        </w:tc>
        <w:tc>
          <w:tcPr>
            <w:tcW w:w="825"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10105</w:t>
            </w:r>
          </w:p>
        </w:tc>
        <w:tc>
          <w:tcPr>
            <w:tcW w:w="707"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942</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39</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86</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138</w:t>
            </w:r>
          </w:p>
        </w:tc>
        <w:tc>
          <w:tcPr>
            <w:tcW w:w="616" w:type="dxa"/>
            <w:tcBorders>
              <w:top w:val="single" w:color="auto" w:sz="4" w:space="0"/>
              <w:left w:val="single" w:color="auto" w:sz="4" w:space="0"/>
              <w:bottom w:val="single" w:color="auto" w:sz="4"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59</w:t>
            </w:r>
          </w:p>
        </w:tc>
        <w:tc>
          <w:tcPr>
            <w:tcW w:w="823" w:type="dxa"/>
            <w:tcBorders>
              <w:top w:val="single" w:color="auto" w:sz="4" w:space="0"/>
              <w:left w:val="single" w:color="auto" w:sz="4" w:space="0"/>
              <w:bottom w:val="single" w:color="auto" w:sz="4"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11369</w:t>
            </w:r>
          </w:p>
        </w:tc>
      </w:tr>
      <w:tr>
        <w:tblPrEx>
          <w:tblCellMar>
            <w:top w:w="0" w:type="dxa"/>
            <w:left w:w="0" w:type="dxa"/>
            <w:bottom w:w="0" w:type="dxa"/>
            <w:right w:w="0" w:type="dxa"/>
          </w:tblCellMar>
        </w:tblPrEx>
        <w:trPr>
          <w:trHeight w:val="590" w:hRule="atLeast"/>
          <w:jc w:val="center"/>
        </w:trPr>
        <w:tc>
          <w:tcPr>
            <w:tcW w:w="4752" w:type="dxa"/>
            <w:gridSpan w:val="3"/>
            <w:tcBorders>
              <w:top w:val="single" w:color="auto" w:sz="4" w:space="0"/>
              <w:left w:val="single" w:color="auto" w:sz="8"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r>
              <w:rPr>
                <w:rFonts w:hint="eastAsia" w:ascii="宋体" w:hAnsi="宋体" w:cs="宋体"/>
                <w:kern w:val="0"/>
                <w:sz w:val="28"/>
                <w:szCs w:val="28"/>
              </w:rPr>
              <w:t>四、结转下年度继续办理</w:t>
            </w:r>
          </w:p>
        </w:tc>
        <w:tc>
          <w:tcPr>
            <w:tcW w:w="825"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210</w:t>
            </w:r>
          </w:p>
        </w:tc>
        <w:tc>
          <w:tcPr>
            <w:tcW w:w="707"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4</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616" w:type="dxa"/>
            <w:tcBorders>
              <w:top w:val="single" w:color="auto" w:sz="4" w:space="0"/>
              <w:left w:val="single" w:color="auto" w:sz="4" w:space="0"/>
              <w:bottom w:val="single" w:color="auto" w:sz="8" w:space="0"/>
              <w:right w:val="single" w:color="auto" w:sz="4"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0</w:t>
            </w:r>
          </w:p>
        </w:tc>
        <w:tc>
          <w:tcPr>
            <w:tcW w:w="823" w:type="dxa"/>
            <w:tcBorders>
              <w:top w:val="single" w:color="auto" w:sz="4" w:space="0"/>
              <w:left w:val="single" w:color="auto" w:sz="4" w:space="0"/>
              <w:bottom w:val="single" w:color="auto" w:sz="8" w:space="0"/>
              <w:right w:val="single" w:color="auto" w:sz="8" w:space="0"/>
            </w:tcBorders>
            <w:noWrap w:val="0"/>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214</w:t>
            </w:r>
          </w:p>
        </w:tc>
      </w:tr>
    </w:tbl>
    <w:p>
      <w:pPr>
        <w:keepNext w:val="0"/>
        <w:keepLines w:val="0"/>
        <w:pageBreakBefore w:val="0"/>
        <w:widowControl w:val="0"/>
        <w:numPr>
          <w:ilvl w:val="0"/>
          <w:numId w:val="0"/>
        </w:numPr>
        <w:kinsoku/>
        <w:wordWrap w:val="0"/>
        <w:overflowPunct/>
        <w:topLinePunct w:val="0"/>
        <w:autoSpaceDE/>
        <w:autoSpaceDN/>
        <w:bidi w:val="0"/>
        <w:adjustRightInd/>
        <w:snapToGrid/>
        <w:spacing w:line="640" w:lineRule="exact"/>
        <w:ind w:firstLine="720" w:firstLineChars="200"/>
        <w:textAlignment w:val="auto"/>
        <w:rPr>
          <w:rFonts w:hint="eastAsia"/>
        </w:rPr>
      </w:pPr>
      <w:r>
        <w:rPr>
          <w:rFonts w:hint="eastAsia" w:ascii="黑体" w:hAnsi="黑体" w:eastAsia="黑体" w:cs="黑体"/>
          <w:b w:val="0"/>
          <w:bCs w:val="0"/>
          <w:color w:val="auto"/>
          <w:kern w:val="0"/>
          <w:sz w:val="36"/>
          <w:szCs w:val="36"/>
          <w:highlight w:val="none"/>
          <w:lang w:val="en-US" w:eastAsia="zh-CN"/>
        </w:rPr>
        <w:t>四、因政府信息公开工作被申请行政复议、提起行政诉讼情况</w:t>
      </w:r>
    </w:p>
    <w:tbl>
      <w:tblPr>
        <w:tblStyle w:val="7"/>
        <w:tblW w:w="9311" w:type="dxa"/>
        <w:jc w:val="center"/>
        <w:tblLayout w:type="fixed"/>
        <w:tblCellMar>
          <w:top w:w="0" w:type="dxa"/>
          <w:left w:w="0" w:type="dxa"/>
          <w:bottom w:w="0" w:type="dxa"/>
          <w:right w:w="0" w:type="dxa"/>
        </w:tblCellMar>
      </w:tblPr>
      <w:tblGrid>
        <w:gridCol w:w="704"/>
        <w:gridCol w:w="645"/>
        <w:gridCol w:w="660"/>
        <w:gridCol w:w="585"/>
        <w:gridCol w:w="705"/>
        <w:gridCol w:w="660"/>
        <w:gridCol w:w="540"/>
        <w:gridCol w:w="660"/>
        <w:gridCol w:w="585"/>
        <w:gridCol w:w="642"/>
        <w:gridCol w:w="588"/>
        <w:gridCol w:w="501"/>
        <w:gridCol w:w="576"/>
        <w:gridCol w:w="540"/>
        <w:gridCol w:w="720"/>
      </w:tblGrid>
      <w:tr>
        <w:tblPrEx>
          <w:tblCellMar>
            <w:top w:w="0" w:type="dxa"/>
            <w:left w:w="0" w:type="dxa"/>
            <w:bottom w:w="0" w:type="dxa"/>
            <w:right w:w="0" w:type="dxa"/>
          </w:tblCellMar>
        </w:tblPrEx>
        <w:trPr>
          <w:trHeight w:val="589" w:hRule="atLeast"/>
          <w:jc w:val="center"/>
        </w:trPr>
        <w:tc>
          <w:tcPr>
            <w:tcW w:w="3299"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cs="宋体"/>
                <w:kern w:val="0"/>
                <w:sz w:val="28"/>
                <w:szCs w:val="28"/>
              </w:rPr>
            </w:pPr>
            <w:r>
              <w:rPr>
                <w:rFonts w:hint="eastAsia" w:ascii="宋体" w:hAnsi="宋体" w:cs="宋体"/>
                <w:kern w:val="0"/>
                <w:sz w:val="28"/>
                <w:szCs w:val="28"/>
              </w:rPr>
              <w:t>行政复议</w:t>
            </w:r>
          </w:p>
        </w:tc>
        <w:tc>
          <w:tcPr>
            <w:tcW w:w="6012"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行政诉讼</w:t>
            </w:r>
          </w:p>
        </w:tc>
      </w:tr>
      <w:tr>
        <w:tblPrEx>
          <w:tblCellMar>
            <w:top w:w="0" w:type="dxa"/>
            <w:left w:w="0" w:type="dxa"/>
            <w:bottom w:w="0" w:type="dxa"/>
            <w:right w:w="0" w:type="dxa"/>
          </w:tblCellMar>
        </w:tblPrEx>
        <w:trPr>
          <w:trHeight w:val="374" w:hRule="atLeast"/>
          <w:jc w:val="center"/>
        </w:trPr>
        <w:tc>
          <w:tcPr>
            <w:tcW w:w="704" w:type="dxa"/>
            <w:vMerge w:val="restart"/>
            <w:tcBorders>
              <w:top w:val="single" w:color="auto" w:sz="8" w:space="0"/>
              <w:left w:val="single" w:color="auto" w:sz="8"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结果维持</w:t>
            </w:r>
          </w:p>
        </w:tc>
        <w:tc>
          <w:tcPr>
            <w:tcW w:w="645"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w:t>
            </w:r>
            <w:r>
              <w:rPr>
                <w:rFonts w:hint="eastAsia" w:ascii="宋体" w:hAnsi="宋体" w:cs="宋体"/>
                <w:kern w:val="0"/>
                <w:sz w:val="28"/>
                <w:szCs w:val="28"/>
              </w:rPr>
              <w:br w:type="textWrapping"/>
            </w:r>
            <w:r>
              <w:rPr>
                <w:rFonts w:hint="eastAsia" w:ascii="宋体" w:hAnsi="宋体" w:cs="宋体"/>
                <w:kern w:val="0"/>
                <w:sz w:val="28"/>
                <w:szCs w:val="28"/>
              </w:rPr>
              <w:t>纠正</w:t>
            </w:r>
          </w:p>
        </w:tc>
        <w:tc>
          <w:tcPr>
            <w:tcW w:w="660"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其他</w:t>
            </w:r>
            <w:r>
              <w:rPr>
                <w:rFonts w:hint="eastAsia" w:ascii="宋体" w:hAnsi="宋体" w:cs="宋体"/>
                <w:kern w:val="0"/>
                <w:sz w:val="28"/>
                <w:szCs w:val="28"/>
              </w:rPr>
              <w:br w:type="textWrapping"/>
            </w:r>
            <w:r>
              <w:rPr>
                <w:rFonts w:hint="eastAsia" w:ascii="宋体" w:hAnsi="宋体" w:cs="宋体"/>
                <w:kern w:val="0"/>
                <w:sz w:val="28"/>
                <w:szCs w:val="28"/>
              </w:rPr>
              <w:t>结果</w:t>
            </w:r>
          </w:p>
        </w:tc>
        <w:tc>
          <w:tcPr>
            <w:tcW w:w="585"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尚未</w:t>
            </w:r>
            <w:r>
              <w:rPr>
                <w:rFonts w:hint="eastAsia" w:ascii="宋体" w:hAnsi="宋体" w:cs="宋体"/>
                <w:kern w:val="0"/>
                <w:sz w:val="28"/>
                <w:szCs w:val="28"/>
              </w:rPr>
              <w:br w:type="textWrapping"/>
            </w:r>
            <w:r>
              <w:rPr>
                <w:rFonts w:hint="eastAsia" w:ascii="宋体" w:hAnsi="宋体" w:cs="宋体"/>
                <w:kern w:val="0"/>
                <w:sz w:val="28"/>
                <w:szCs w:val="28"/>
              </w:rPr>
              <w:t>审结</w:t>
            </w:r>
          </w:p>
        </w:tc>
        <w:tc>
          <w:tcPr>
            <w:tcW w:w="705" w:type="dxa"/>
            <w:vMerge w:val="restart"/>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总计</w:t>
            </w:r>
          </w:p>
        </w:tc>
        <w:tc>
          <w:tcPr>
            <w:tcW w:w="3087" w:type="dxa"/>
            <w:gridSpan w:val="5"/>
            <w:tcBorders>
              <w:top w:val="single" w:color="auto" w:sz="8"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sz w:val="28"/>
                <w:szCs w:val="28"/>
              </w:rPr>
            </w:pPr>
            <w:r>
              <w:rPr>
                <w:rFonts w:hint="eastAsia" w:ascii="宋体" w:hAnsi="宋体" w:cs="宋体"/>
                <w:kern w:val="0"/>
                <w:sz w:val="28"/>
                <w:szCs w:val="28"/>
                <w:lang w:eastAsia="zh-CN"/>
              </w:rPr>
              <w:t>未</w:t>
            </w:r>
            <w:r>
              <w:rPr>
                <w:rFonts w:hint="eastAsia" w:ascii="宋体" w:hAnsi="宋体" w:cs="宋体"/>
                <w:kern w:val="0"/>
                <w:sz w:val="28"/>
                <w:szCs w:val="28"/>
              </w:rPr>
              <w:t>经复议直接起诉</w:t>
            </w:r>
          </w:p>
        </w:tc>
        <w:tc>
          <w:tcPr>
            <w:tcW w:w="2925" w:type="dxa"/>
            <w:gridSpan w:val="5"/>
            <w:tcBorders>
              <w:top w:val="single" w:color="auto" w:sz="8" w:space="0"/>
              <w:left w:val="single" w:color="auto" w:sz="4" w:space="0"/>
              <w:bottom w:val="single" w:color="auto" w:sz="4"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cs="宋体"/>
                <w:kern w:val="0"/>
                <w:sz w:val="28"/>
                <w:szCs w:val="28"/>
              </w:rPr>
            </w:pPr>
            <w:r>
              <w:rPr>
                <w:rFonts w:hint="eastAsia" w:ascii="宋体" w:hAnsi="宋体" w:cs="宋体"/>
                <w:kern w:val="0"/>
                <w:sz w:val="28"/>
                <w:szCs w:val="28"/>
              </w:rPr>
              <w:t>复议后起诉</w:t>
            </w:r>
          </w:p>
        </w:tc>
      </w:tr>
      <w:tr>
        <w:tblPrEx>
          <w:tblCellMar>
            <w:top w:w="0" w:type="dxa"/>
            <w:left w:w="0" w:type="dxa"/>
            <w:bottom w:w="0" w:type="dxa"/>
            <w:right w:w="0" w:type="dxa"/>
          </w:tblCellMar>
        </w:tblPrEx>
        <w:trPr>
          <w:trHeight w:val="766" w:hRule="atLeast"/>
          <w:jc w:val="center"/>
        </w:trPr>
        <w:tc>
          <w:tcPr>
            <w:tcW w:w="704" w:type="dxa"/>
            <w:vMerge w:val="continue"/>
            <w:tcBorders>
              <w:top w:val="single" w:color="auto" w:sz="4" w:space="0"/>
              <w:left w:val="single" w:color="auto" w:sz="8"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64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58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70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rPr>
                <w:rFonts w:ascii="宋体" w:hAnsi="宋体" w:cs="宋体"/>
                <w:kern w:val="0"/>
                <w:sz w:val="28"/>
                <w:szCs w:val="28"/>
              </w:rPr>
            </w:pPr>
          </w:p>
        </w:tc>
        <w:tc>
          <w:tcPr>
            <w:tcW w:w="66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w:t>
            </w:r>
            <w:r>
              <w:rPr>
                <w:rFonts w:hint="eastAsia" w:ascii="宋体" w:hAnsi="宋体" w:cs="宋体"/>
                <w:kern w:val="0"/>
                <w:sz w:val="28"/>
                <w:szCs w:val="28"/>
              </w:rPr>
              <w:br w:type="textWrapping"/>
            </w:r>
            <w:r>
              <w:rPr>
                <w:rFonts w:hint="eastAsia" w:ascii="宋体" w:hAnsi="宋体" w:cs="宋体"/>
                <w:kern w:val="0"/>
                <w:sz w:val="28"/>
                <w:szCs w:val="28"/>
              </w:rPr>
              <w:t>维持</w:t>
            </w:r>
          </w:p>
        </w:tc>
        <w:tc>
          <w:tcPr>
            <w:tcW w:w="54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w:t>
            </w:r>
            <w:r>
              <w:rPr>
                <w:rFonts w:hint="eastAsia" w:ascii="宋体" w:hAnsi="宋体" w:cs="宋体"/>
                <w:kern w:val="0"/>
                <w:sz w:val="28"/>
                <w:szCs w:val="28"/>
              </w:rPr>
              <w:br w:type="textWrapping"/>
            </w:r>
            <w:r>
              <w:rPr>
                <w:rFonts w:hint="eastAsia" w:ascii="宋体" w:hAnsi="宋体" w:cs="宋体"/>
                <w:kern w:val="0"/>
                <w:sz w:val="28"/>
                <w:szCs w:val="28"/>
              </w:rPr>
              <w:t>纠正</w:t>
            </w:r>
          </w:p>
        </w:tc>
        <w:tc>
          <w:tcPr>
            <w:tcW w:w="66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其他</w:t>
            </w:r>
            <w:r>
              <w:rPr>
                <w:rFonts w:hint="eastAsia" w:ascii="宋体" w:hAnsi="宋体" w:cs="宋体"/>
                <w:kern w:val="0"/>
                <w:sz w:val="28"/>
                <w:szCs w:val="28"/>
              </w:rPr>
              <w:br w:type="textWrapping"/>
            </w:r>
            <w:r>
              <w:rPr>
                <w:rFonts w:hint="eastAsia" w:ascii="宋体" w:hAnsi="宋体" w:cs="宋体"/>
                <w:kern w:val="0"/>
                <w:sz w:val="28"/>
                <w:szCs w:val="28"/>
              </w:rPr>
              <w:t>结果</w:t>
            </w:r>
          </w:p>
        </w:tc>
        <w:tc>
          <w:tcPr>
            <w:tcW w:w="585"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尚未</w:t>
            </w:r>
            <w:r>
              <w:rPr>
                <w:rFonts w:hint="eastAsia" w:ascii="宋体" w:hAnsi="宋体" w:cs="宋体"/>
                <w:kern w:val="0"/>
                <w:sz w:val="28"/>
                <w:szCs w:val="28"/>
              </w:rPr>
              <w:br w:type="textWrapping"/>
            </w:r>
            <w:r>
              <w:rPr>
                <w:rFonts w:hint="eastAsia" w:ascii="宋体" w:hAnsi="宋体" w:cs="宋体"/>
                <w:kern w:val="0"/>
                <w:sz w:val="28"/>
                <w:szCs w:val="28"/>
              </w:rPr>
              <w:t>审结</w:t>
            </w:r>
          </w:p>
        </w:tc>
        <w:tc>
          <w:tcPr>
            <w:tcW w:w="642"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color w:val="000000"/>
                <w:kern w:val="0"/>
                <w:sz w:val="28"/>
                <w:szCs w:val="28"/>
              </w:rPr>
              <w:t>总计</w:t>
            </w:r>
          </w:p>
        </w:tc>
        <w:tc>
          <w:tcPr>
            <w:tcW w:w="588"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w:t>
            </w:r>
            <w:r>
              <w:rPr>
                <w:rFonts w:hint="eastAsia" w:ascii="宋体" w:hAnsi="宋体" w:cs="宋体"/>
                <w:kern w:val="0"/>
                <w:sz w:val="28"/>
                <w:szCs w:val="28"/>
              </w:rPr>
              <w:br w:type="textWrapping"/>
            </w:r>
            <w:r>
              <w:rPr>
                <w:rFonts w:hint="eastAsia" w:ascii="宋体" w:hAnsi="宋体" w:cs="宋体"/>
                <w:kern w:val="0"/>
                <w:sz w:val="28"/>
                <w:szCs w:val="28"/>
              </w:rPr>
              <w:t>维持</w:t>
            </w:r>
          </w:p>
        </w:tc>
        <w:tc>
          <w:tcPr>
            <w:tcW w:w="501"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结果</w:t>
            </w:r>
            <w:r>
              <w:rPr>
                <w:rFonts w:hint="eastAsia" w:ascii="宋体" w:hAnsi="宋体" w:cs="宋体"/>
                <w:kern w:val="0"/>
                <w:sz w:val="28"/>
                <w:szCs w:val="28"/>
              </w:rPr>
              <w:br w:type="textWrapping"/>
            </w:r>
            <w:r>
              <w:rPr>
                <w:rFonts w:hint="eastAsia" w:ascii="宋体" w:hAnsi="宋体" w:cs="宋体"/>
                <w:kern w:val="0"/>
                <w:sz w:val="28"/>
                <w:szCs w:val="28"/>
              </w:rPr>
              <w:t>纠正</w:t>
            </w:r>
          </w:p>
        </w:tc>
        <w:tc>
          <w:tcPr>
            <w:tcW w:w="576"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color w:val="000000"/>
                <w:kern w:val="0"/>
                <w:sz w:val="28"/>
                <w:szCs w:val="28"/>
              </w:rPr>
              <w:t>其他</w:t>
            </w:r>
            <w:r>
              <w:rPr>
                <w:rFonts w:hint="eastAsia" w:ascii="宋体" w:hAnsi="宋体" w:cs="宋体"/>
                <w:color w:val="000000"/>
                <w:kern w:val="0"/>
                <w:sz w:val="28"/>
                <w:szCs w:val="28"/>
              </w:rPr>
              <w:br w:type="textWrapping"/>
            </w:r>
            <w:r>
              <w:rPr>
                <w:rFonts w:hint="eastAsia" w:ascii="宋体" w:hAnsi="宋体" w:cs="宋体"/>
                <w:color w:val="000000"/>
                <w:kern w:val="0"/>
                <w:sz w:val="28"/>
                <w:szCs w:val="28"/>
              </w:rPr>
              <w:t>结果</w:t>
            </w:r>
          </w:p>
        </w:tc>
        <w:tc>
          <w:tcPr>
            <w:tcW w:w="540" w:type="dxa"/>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kern w:val="0"/>
                <w:sz w:val="28"/>
                <w:szCs w:val="28"/>
              </w:rPr>
              <w:t>尚未</w:t>
            </w:r>
            <w:r>
              <w:rPr>
                <w:rFonts w:hint="eastAsia" w:ascii="宋体" w:hAnsi="宋体" w:cs="宋体"/>
                <w:kern w:val="0"/>
                <w:sz w:val="28"/>
                <w:szCs w:val="28"/>
              </w:rPr>
              <w:br w:type="textWrapping"/>
            </w:r>
            <w:r>
              <w:rPr>
                <w:rFonts w:hint="eastAsia" w:ascii="宋体" w:hAnsi="宋体" w:cs="宋体"/>
                <w:kern w:val="0"/>
                <w:sz w:val="28"/>
                <w:szCs w:val="28"/>
              </w:rPr>
              <w:t>审结</w:t>
            </w:r>
          </w:p>
        </w:tc>
        <w:tc>
          <w:tcPr>
            <w:tcW w:w="720" w:type="dxa"/>
            <w:tcBorders>
              <w:top w:val="single" w:color="auto" w:sz="4" w:space="0"/>
              <w:left w:val="single" w:color="auto" w:sz="4" w:space="0"/>
              <w:bottom w:val="single" w:color="auto" w:sz="4"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ascii="宋体" w:hAnsi="宋体" w:cs="宋体"/>
                <w:kern w:val="0"/>
                <w:sz w:val="28"/>
                <w:szCs w:val="28"/>
              </w:rPr>
            </w:pPr>
            <w:r>
              <w:rPr>
                <w:rFonts w:hint="eastAsia" w:ascii="宋体" w:hAnsi="宋体" w:cs="宋体"/>
                <w:color w:val="000000"/>
                <w:kern w:val="0"/>
                <w:sz w:val="28"/>
                <w:szCs w:val="28"/>
              </w:rPr>
              <w:t>总计</w:t>
            </w:r>
          </w:p>
        </w:tc>
      </w:tr>
      <w:tr>
        <w:tblPrEx>
          <w:tblCellMar>
            <w:top w:w="0" w:type="dxa"/>
            <w:left w:w="0" w:type="dxa"/>
            <w:bottom w:w="0" w:type="dxa"/>
            <w:right w:w="0" w:type="dxa"/>
          </w:tblCellMar>
        </w:tblPrEx>
        <w:trPr>
          <w:trHeight w:val="917" w:hRule="atLeast"/>
          <w:jc w:val="center"/>
        </w:trPr>
        <w:tc>
          <w:tcPr>
            <w:tcW w:w="704" w:type="dxa"/>
            <w:tcBorders>
              <w:top w:val="single" w:color="auto" w:sz="4" w:space="0"/>
              <w:left w:val="single" w:color="auto" w:sz="8"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226</w:t>
            </w:r>
          </w:p>
        </w:tc>
        <w:tc>
          <w:tcPr>
            <w:tcW w:w="645"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102</w:t>
            </w:r>
          </w:p>
        </w:tc>
        <w:tc>
          <w:tcPr>
            <w:tcW w:w="66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135</w:t>
            </w:r>
          </w:p>
        </w:tc>
        <w:tc>
          <w:tcPr>
            <w:tcW w:w="585"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98</w:t>
            </w:r>
          </w:p>
        </w:tc>
        <w:tc>
          <w:tcPr>
            <w:tcW w:w="705"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561</w:t>
            </w:r>
          </w:p>
        </w:tc>
        <w:tc>
          <w:tcPr>
            <w:tcW w:w="66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179</w:t>
            </w:r>
          </w:p>
        </w:tc>
        <w:tc>
          <w:tcPr>
            <w:tcW w:w="54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29</w:t>
            </w:r>
          </w:p>
        </w:tc>
        <w:tc>
          <w:tcPr>
            <w:tcW w:w="66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102</w:t>
            </w:r>
          </w:p>
        </w:tc>
        <w:tc>
          <w:tcPr>
            <w:tcW w:w="585"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44</w:t>
            </w:r>
          </w:p>
        </w:tc>
        <w:tc>
          <w:tcPr>
            <w:tcW w:w="642"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354</w:t>
            </w:r>
          </w:p>
        </w:tc>
        <w:tc>
          <w:tcPr>
            <w:tcW w:w="588"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94</w:t>
            </w:r>
          </w:p>
        </w:tc>
        <w:tc>
          <w:tcPr>
            <w:tcW w:w="501"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14</w:t>
            </w:r>
          </w:p>
        </w:tc>
        <w:tc>
          <w:tcPr>
            <w:tcW w:w="576"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17</w:t>
            </w:r>
          </w:p>
        </w:tc>
        <w:tc>
          <w:tcPr>
            <w:tcW w:w="540" w:type="dxa"/>
            <w:tcBorders>
              <w:top w:val="single" w:color="auto" w:sz="4" w:space="0"/>
              <w:left w:val="single" w:color="auto" w:sz="4" w:space="0"/>
              <w:bottom w:val="single" w:color="auto" w:sz="8" w:space="0"/>
              <w:right w:val="single" w:color="auto" w:sz="4"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29</w:t>
            </w:r>
          </w:p>
        </w:tc>
        <w:tc>
          <w:tcPr>
            <w:tcW w:w="720" w:type="dxa"/>
            <w:tcBorders>
              <w:top w:val="single" w:color="auto" w:sz="4" w:space="0"/>
              <w:left w:val="single" w:color="auto" w:sz="4"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center"/>
              <w:rPr>
                <w:rFonts w:hint="default" w:ascii="Times New Roman" w:hAnsi="Times New Roman" w:cs="Times New Roman"/>
                <w:color w:val="auto"/>
                <w:kern w:val="0"/>
                <w:sz w:val="28"/>
                <w:szCs w:val="28"/>
                <w:lang w:val="en-US" w:eastAsia="zh-CN"/>
              </w:rPr>
            </w:pPr>
            <w:r>
              <w:rPr>
                <w:rFonts w:hint="default" w:ascii="Times New Roman" w:hAnsi="Times New Roman" w:eastAsia="宋体" w:cs="Times New Roman"/>
                <w:i w:val="0"/>
                <w:iCs w:val="0"/>
                <w:color w:val="auto"/>
                <w:kern w:val="0"/>
                <w:sz w:val="28"/>
                <w:szCs w:val="28"/>
                <w:u w:val="none"/>
                <w:lang w:val="en-US" w:eastAsia="zh-CN" w:bidi="ar"/>
              </w:rPr>
              <w:t>154</w:t>
            </w:r>
          </w:p>
        </w:tc>
      </w:tr>
    </w:tbl>
    <w:p>
      <w:pPr>
        <w:keepNext w:val="0"/>
        <w:keepLines w:val="0"/>
        <w:pageBreakBefore w:val="0"/>
        <w:widowControl/>
        <w:kinsoku/>
        <w:wordWrap/>
        <w:overflowPunct/>
        <w:topLinePunct w:val="0"/>
        <w:autoSpaceDE/>
        <w:autoSpaceDN/>
        <w:bidi w:val="0"/>
        <w:adjustRightInd/>
        <w:snapToGrid/>
        <w:spacing w:line="640" w:lineRule="exact"/>
        <w:ind w:left="0" w:leftChars="0" w:firstLine="720" w:firstLineChars="200"/>
        <w:textAlignment w:val="auto"/>
        <w:rPr>
          <w:rFonts w:ascii="Times New Roman" w:hAnsi="Times New Roman" w:eastAsia="黑体"/>
          <w:bCs/>
          <w:color w:val="auto"/>
          <w:kern w:val="0"/>
          <w:sz w:val="36"/>
          <w:szCs w:val="36"/>
        </w:rPr>
      </w:pPr>
      <w:r>
        <w:rPr>
          <w:rFonts w:hint="eastAsia" w:ascii="Times New Roman" w:hAnsi="Times New Roman" w:eastAsia="黑体"/>
          <w:bCs/>
          <w:color w:val="auto"/>
          <w:kern w:val="0"/>
          <w:sz w:val="36"/>
          <w:szCs w:val="36"/>
        </w:rPr>
        <w:t>五、存在的主要问题及改进情况</w:t>
      </w:r>
    </w:p>
    <w:p>
      <w:pPr>
        <w:pStyle w:val="3"/>
        <w:keepNext w:val="0"/>
        <w:keepLines w:val="0"/>
        <w:pageBreakBefore w:val="0"/>
        <w:widowControl w:val="0"/>
        <w:kinsoku/>
        <w:wordWrap/>
        <w:overflowPunct/>
        <w:topLinePunct w:val="0"/>
        <w:autoSpaceDE/>
        <w:autoSpaceDN/>
        <w:bidi w:val="0"/>
        <w:adjustRightInd/>
        <w:snapToGrid/>
        <w:spacing w:after="0" w:afterLines="0" w:line="640" w:lineRule="exact"/>
        <w:ind w:left="0" w:leftChars="0" w:firstLine="720" w:firstLineChars="200"/>
        <w:textAlignment w:val="auto"/>
        <w:rPr>
          <w:rFonts w:hint="default" w:ascii="Times New Roman" w:hAnsi="Times New Roman" w:eastAsia="仿宋_GB2312"/>
          <w:strike w:val="0"/>
          <w:dstrike w:val="0"/>
          <w:color w:val="auto"/>
          <w:sz w:val="36"/>
          <w:szCs w:val="36"/>
          <w:lang w:val="en-US" w:eastAsia="zh-CN"/>
        </w:rPr>
      </w:pPr>
      <w:r>
        <w:rPr>
          <w:rFonts w:hint="eastAsia" w:ascii="Times New Roman" w:hAnsi="Times New Roman" w:eastAsia="仿宋_GB2312"/>
          <w:color w:val="auto"/>
          <w:sz w:val="36"/>
          <w:szCs w:val="36"/>
          <w:lang w:val="en-US" w:eastAsia="zh-CN"/>
        </w:rPr>
        <w:t>对照全省2022年政务公开第三方评估结果，各市州人民政府和省直单位政务公开工作整体情况较好，基层人民政府相对较弱，主要存在公开渠道指引性不强、主动公开内容不完善不集中、解读形式单一等问题。</w:t>
      </w:r>
      <w:r>
        <w:rPr>
          <w:rFonts w:hint="eastAsia" w:ascii="Times New Roman" w:hAnsi="Times New Roman" w:eastAsia="仿宋_GB2312"/>
          <w:strike w:val="0"/>
          <w:dstrike w:val="0"/>
          <w:color w:val="auto"/>
          <w:sz w:val="36"/>
          <w:szCs w:val="36"/>
          <w:lang w:val="en-US" w:eastAsia="zh-CN"/>
        </w:rPr>
        <w:t>目前，针对全省第三方评估发现的问题已基本完成整改。下一步，将把政务公开第三方评估工作作为每年常态化工作开展，以第三方评估为重要抓手，推动基层政务公开更加标准化规范化。同时，今年</w:t>
      </w:r>
      <w:r>
        <w:rPr>
          <w:rFonts w:hint="eastAsia" w:ascii="仿宋_GB2312" w:eastAsia="仿宋_GB2312"/>
          <w:color w:val="auto"/>
          <w:sz w:val="36"/>
          <w:szCs w:val="36"/>
          <w:lang w:val="en-US" w:eastAsia="zh-CN"/>
        </w:rPr>
        <w:t>拟</w:t>
      </w:r>
      <w:r>
        <w:rPr>
          <w:rFonts w:hint="eastAsia" w:eastAsia="仿宋_GB2312" w:cs="Times New Roman"/>
          <w:color w:val="auto"/>
          <w:spacing w:val="0"/>
          <w:sz w:val="36"/>
          <w:szCs w:val="36"/>
          <w:lang w:val="en-US" w:eastAsia="zh-CN"/>
        </w:rPr>
        <w:t>制定《政务公开工作规范》湖南省地方标准，进一步规范全省政务公开工作，更好发挥</w:t>
      </w:r>
      <w:r>
        <w:rPr>
          <w:rFonts w:hint="eastAsia" w:ascii="仿宋_GB2312" w:hAnsi="仿宋_GB2312" w:eastAsia="仿宋_GB2312" w:cs="Times New Roman"/>
          <w:b w:val="0"/>
          <w:bCs/>
          <w:color w:val="auto"/>
          <w:spacing w:val="0"/>
          <w:kern w:val="2"/>
          <w:sz w:val="36"/>
          <w:szCs w:val="36"/>
          <w:lang w:val="en-US" w:eastAsia="zh-CN" w:bidi="ar-SA"/>
        </w:rPr>
        <w:t>以公开促落实、强监管、优服务的积极作用</w:t>
      </w:r>
      <w:r>
        <w:rPr>
          <w:rFonts w:hint="eastAsia" w:eastAsia="仿宋_GB2312" w:cs="Times New Roman"/>
          <w:color w:val="auto"/>
          <w:spacing w:val="0"/>
          <w:sz w:val="36"/>
          <w:szCs w:val="36"/>
          <w:lang w:val="en-US" w:eastAsia="zh-CN"/>
        </w:rPr>
        <w:t>。</w:t>
      </w:r>
    </w:p>
    <w:p>
      <w:pPr>
        <w:pStyle w:val="2"/>
        <w:keepNext w:val="0"/>
        <w:keepLines w:val="0"/>
        <w:pageBreakBefore w:val="0"/>
        <w:widowControl w:val="0"/>
        <w:kinsoku/>
        <w:wordWrap/>
        <w:overflowPunct/>
        <w:topLinePunct w:val="0"/>
        <w:autoSpaceDE/>
        <w:autoSpaceDN/>
        <w:bidi w:val="0"/>
        <w:adjustRightInd/>
        <w:snapToGrid/>
        <w:spacing w:line="640" w:lineRule="exact"/>
        <w:ind w:left="0" w:leftChars="0" w:firstLine="720" w:firstLineChars="200"/>
        <w:textAlignment w:val="auto"/>
        <w:rPr>
          <w:rFonts w:hint="eastAsia" w:ascii="Times New Roman" w:hAnsi="Times New Roman" w:eastAsia="黑体"/>
          <w:bCs/>
          <w:color w:val="auto"/>
          <w:kern w:val="0"/>
          <w:sz w:val="36"/>
          <w:szCs w:val="36"/>
        </w:rPr>
      </w:pPr>
      <w:r>
        <w:rPr>
          <w:rFonts w:hint="eastAsia" w:ascii="Times New Roman" w:hAnsi="Times New Roman" w:eastAsia="黑体"/>
          <w:bCs/>
          <w:color w:val="auto"/>
          <w:kern w:val="0"/>
          <w:sz w:val="36"/>
          <w:szCs w:val="36"/>
        </w:rPr>
        <w:t>六、其他需要报告的事项</w:t>
      </w:r>
    </w:p>
    <w:p>
      <w:pPr>
        <w:pStyle w:val="2"/>
        <w:keepNext w:val="0"/>
        <w:keepLines w:val="0"/>
        <w:pageBreakBefore w:val="0"/>
        <w:widowControl w:val="0"/>
        <w:kinsoku/>
        <w:wordWrap/>
        <w:overflowPunct/>
        <w:topLinePunct w:val="0"/>
        <w:autoSpaceDE/>
        <w:autoSpaceDN/>
        <w:bidi w:val="0"/>
        <w:adjustRightInd/>
        <w:snapToGrid/>
        <w:spacing w:line="640" w:lineRule="exact"/>
        <w:ind w:left="0" w:leftChars="0" w:firstLine="720" w:firstLineChars="200"/>
        <w:textAlignment w:val="auto"/>
        <w:rPr>
          <w:rFonts w:hint="default" w:ascii="Times New Roman" w:hAnsi="Times New Roman" w:eastAsia="仿宋_GB2312" w:cs="Times New Roman"/>
          <w:color w:val="auto"/>
          <w:kern w:val="2"/>
          <w:sz w:val="36"/>
          <w:szCs w:val="36"/>
          <w:highlight w:val="none"/>
          <w:lang w:val="en-US" w:eastAsia="zh-CN" w:bidi="ar-SA"/>
        </w:rPr>
      </w:pPr>
      <w:r>
        <w:rPr>
          <w:rFonts w:hint="eastAsia" w:ascii="Times New Roman" w:hAnsi="Times New Roman" w:eastAsia="仿宋_GB2312" w:cs="Times New Roman"/>
          <w:color w:val="auto"/>
          <w:kern w:val="2"/>
          <w:sz w:val="36"/>
          <w:szCs w:val="36"/>
          <w:highlight w:val="none"/>
          <w:lang w:val="en-US" w:eastAsia="zh-CN" w:bidi="ar-SA"/>
        </w:rPr>
        <w:t>2022年全省各级各部门共收取政府信息公开处理费2600元，主要集中在娄底市。</w:t>
      </w:r>
    </w:p>
    <w:p>
      <w:pPr>
        <w:pStyle w:val="4"/>
        <w:keepNext w:val="0"/>
        <w:keepLines w:val="0"/>
        <w:pageBreakBefore w:val="0"/>
        <w:kinsoku/>
        <w:wordWrap/>
        <w:overflowPunct/>
        <w:topLinePunct w:val="0"/>
        <w:autoSpaceDE/>
        <w:autoSpaceDN/>
        <w:bidi w:val="0"/>
        <w:adjustRightInd/>
        <w:snapToGrid/>
        <w:spacing w:line="600" w:lineRule="exact"/>
        <w:ind w:left="0" w:leftChars="0" w:firstLine="720" w:firstLineChars="200"/>
        <w:textAlignment w:val="auto"/>
        <w:rPr>
          <w:rFonts w:hint="eastAsia"/>
          <w:sz w:val="36"/>
          <w:szCs w:val="36"/>
          <w:lang w:val="en-US" w:eastAsia="zh-CN"/>
        </w:rPr>
      </w:pPr>
    </w:p>
    <w:p>
      <w:pPr>
        <w:rPr>
          <w:sz w:val="36"/>
          <w:szCs w:val="36"/>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638D34-A2A5-4D41-ACFE-F04D4FD879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65F17E46-4F59-4661-9D55-F18A633C664A}"/>
  </w:font>
  <w:font w:name="楷体">
    <w:panose1 w:val="02010609060101010101"/>
    <w:charset w:val="86"/>
    <w:family w:val="auto"/>
    <w:pitch w:val="default"/>
    <w:sig w:usb0="800002BF" w:usb1="38CF7CFA" w:usb2="00000016" w:usb3="00000000" w:csb0="00040001" w:csb1="00000000"/>
    <w:embedRegular r:id="rId3" w:fontKey="{8D384E78-1116-4C93-9DD8-DAB1614AF9B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3YjczYzM5NGQ3ZjYyNTAzZWUzYTRmMWNjMjUyMjQifQ=="/>
  </w:docVars>
  <w:rsids>
    <w:rsidRoot w:val="4FFD25E3"/>
    <w:rsid w:val="01D2244B"/>
    <w:rsid w:val="05002624"/>
    <w:rsid w:val="070B300A"/>
    <w:rsid w:val="09AB63DF"/>
    <w:rsid w:val="0B845139"/>
    <w:rsid w:val="0D1E30E5"/>
    <w:rsid w:val="0D554801"/>
    <w:rsid w:val="0F73799F"/>
    <w:rsid w:val="108160EB"/>
    <w:rsid w:val="10CB392A"/>
    <w:rsid w:val="169D3324"/>
    <w:rsid w:val="16D50F3F"/>
    <w:rsid w:val="1E25455A"/>
    <w:rsid w:val="216D6944"/>
    <w:rsid w:val="285E7603"/>
    <w:rsid w:val="2DD5279E"/>
    <w:rsid w:val="2E394E0D"/>
    <w:rsid w:val="2FF3270A"/>
    <w:rsid w:val="32AC094E"/>
    <w:rsid w:val="32EE7A39"/>
    <w:rsid w:val="341A72E1"/>
    <w:rsid w:val="347B1494"/>
    <w:rsid w:val="37677539"/>
    <w:rsid w:val="3815207F"/>
    <w:rsid w:val="38193670"/>
    <w:rsid w:val="3B251A0F"/>
    <w:rsid w:val="3C1F6635"/>
    <w:rsid w:val="3CA27D60"/>
    <w:rsid w:val="418131B8"/>
    <w:rsid w:val="42EC5BE6"/>
    <w:rsid w:val="43B6787E"/>
    <w:rsid w:val="488927A0"/>
    <w:rsid w:val="48BE0F94"/>
    <w:rsid w:val="49FA1107"/>
    <w:rsid w:val="4CFF5367"/>
    <w:rsid w:val="4FFD25E3"/>
    <w:rsid w:val="51E27A91"/>
    <w:rsid w:val="529274B0"/>
    <w:rsid w:val="551C12D3"/>
    <w:rsid w:val="5683561C"/>
    <w:rsid w:val="596A0E76"/>
    <w:rsid w:val="5E2230D9"/>
    <w:rsid w:val="622F58C1"/>
    <w:rsid w:val="678B2074"/>
    <w:rsid w:val="688D6550"/>
    <w:rsid w:val="6A415844"/>
    <w:rsid w:val="6CB27EF7"/>
    <w:rsid w:val="74635D79"/>
    <w:rsid w:val="7A6335B5"/>
    <w:rsid w:val="7DFC4DFB"/>
    <w:rsid w:val="7E351F6B"/>
    <w:rsid w:val="7E376EDD"/>
    <w:rsid w:val="7F7FE9B5"/>
    <w:rsid w:val="7F9C7A2B"/>
    <w:rsid w:val="CADE4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w:basedOn w:val="1"/>
    <w:next w:val="4"/>
    <w:qFormat/>
    <w:uiPriority w:val="0"/>
    <w:pPr>
      <w:spacing w:after="120" w:afterLines="0"/>
    </w:pPr>
  </w:style>
  <w:style w:type="paragraph" w:styleId="4">
    <w:name w:val="toc 5"/>
    <w:basedOn w:val="1"/>
    <w:next w:val="1"/>
    <w:qFormat/>
    <w:uiPriority w:val="0"/>
    <w:pPr>
      <w:ind w:left="1680" w:leftChars="800"/>
    </w:pPr>
    <w:rPr>
      <w:rFonts w:ascii="Times New Roman" w:hAnsi="Times New Roman"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3113</Words>
  <Characters>3392</Characters>
  <Lines>0</Lines>
  <Paragraphs>0</Paragraphs>
  <TotalTime>45</TotalTime>
  <ScaleCrop>false</ScaleCrop>
  <LinksUpToDate>false</LinksUpToDate>
  <CharactersWithSpaces>3392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2023-03-20T21:39:00Z</dcterms:created>
  <dc:creator>烟霏</dc:creator>
  <cp:lastModifiedBy>喻琢</cp:lastModifiedBy>
  <dcterms:modified xsi:type="dcterms:W3CDTF">2023-03-31T09:03:36Z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7E615D8A84954637AB3951524535F5DD</vt:lpwstr>
  </property>
</Properties>
</file>