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600" w:lineRule="exact"/>
        <w:jc w:val="center"/>
        <w:rPr>
          <w:rFonts w:ascii="Times New Roman" w:hAnsi="Times New Roman" w:eastAsia="方正小标宋简体"/>
          <w:w w:val="90"/>
          <w:sz w:val="44"/>
          <w:szCs w:val="44"/>
        </w:rPr>
      </w:pPr>
      <w:bookmarkStart w:id="0" w:name="_GoBack"/>
      <w:r>
        <w:rPr>
          <w:rFonts w:hint="eastAsia" w:ascii="Times New Roman" w:hAnsi="Times New Roman" w:eastAsia="方正小标宋简体"/>
          <w:w w:val="90"/>
          <w:sz w:val="44"/>
          <w:szCs w:val="44"/>
        </w:rPr>
        <w:t>湖南省医保局2020年度规划进展情况</w:t>
      </w:r>
    </w:p>
    <w:bookmarkEnd w:id="0"/>
    <w:p>
      <w:pPr>
        <w:pStyle w:val="2"/>
        <w:spacing w:line="600" w:lineRule="exact"/>
        <w:rPr>
          <w:rFonts w:ascii="Times New Roman" w:hAnsi="Times New Roman"/>
        </w:rPr>
      </w:pPr>
    </w:p>
    <w:p>
      <w:pPr>
        <w:overflowPunct w:val="0"/>
        <w:spacing w:line="600" w:lineRule="exact"/>
        <w:ind w:firstLine="640" w:firstLineChars="200"/>
        <w:rPr>
          <w:rFonts w:ascii="Times New Roman" w:hAnsi="Times New Roman"/>
        </w:rPr>
      </w:pPr>
      <w:r>
        <w:rPr>
          <w:rFonts w:ascii="Times New Roman" w:hAnsi="Times New Roman" w:eastAsia="仿宋_GB2312"/>
          <w:sz w:val="32"/>
          <w:szCs w:val="32"/>
        </w:rPr>
        <w:t>2020年，省医疗保障局坚持以习近平新时代中国特色社会主义思想为指导，全面贯彻落实党的十九届五中全会和省委十一届十二次全会精神，以习近平总书记在湖南考察时的重要讲话指示精神和省委省政府的一系列重大决策部署为指引，紧紧围绕解决老百姓“看病难、看病贵”问题，狠抓改革创新，不断提升医保治理能力和服务水平，取得了明显成效。</w:t>
      </w:r>
    </w:p>
    <w:p>
      <w:pPr>
        <w:spacing w:line="600" w:lineRule="exact"/>
        <w:ind w:firstLine="640" w:firstLineChars="200"/>
        <w:rPr>
          <w:rFonts w:ascii="Times New Roman" w:hAnsi="Times New Roman" w:eastAsia="仿宋_GB2312"/>
          <w:color w:val="000000"/>
          <w:sz w:val="32"/>
          <w:szCs w:val="32"/>
        </w:rPr>
      </w:pPr>
      <w:r>
        <w:rPr>
          <w:rFonts w:hint="eastAsia" w:ascii="黑体" w:hAnsi="黑体" w:eastAsia="黑体" w:cs="黑体"/>
          <w:sz w:val="32"/>
          <w:szCs w:val="32"/>
        </w:rPr>
        <w:t>一、</w:t>
      </w:r>
      <w:r>
        <w:rPr>
          <w:rFonts w:hint="eastAsia" w:ascii="黑体" w:hAnsi="黑体" w:eastAsia="黑体" w:cs="黑体"/>
          <w:color w:val="000000" w:themeColor="text1"/>
          <w:sz w:val="32"/>
          <w:szCs w:val="32"/>
        </w:rPr>
        <w:t>全面实施预算绩效管理，医保基金总体运行平稳。</w:t>
      </w:r>
      <w:r>
        <w:rPr>
          <w:rFonts w:ascii="Times New Roman" w:hAnsi="Times New Roman" w:eastAsia="仿宋_GB2312"/>
          <w:color w:val="000000" w:themeColor="text1"/>
          <w:sz w:val="32"/>
          <w:szCs w:val="32"/>
        </w:rPr>
        <w:t>据统计，截止2020年12月底，全省基本医疗保险参保人数6726.44万人，其中城镇职工医保（含生育保险）参保人数990.13万人、城乡居民医保参保人数5736.31万人。全省基金总收入883亿元、总支出793.77亿元，</w:t>
      </w:r>
      <w:r>
        <w:rPr>
          <w:rFonts w:hint="eastAsia" w:ascii="Times New Roman" w:hAnsi="Times New Roman" w:eastAsia="仿宋_GB2312"/>
          <w:color w:val="000000" w:themeColor="text1"/>
          <w:sz w:val="32"/>
          <w:szCs w:val="32"/>
        </w:rPr>
        <w:t>基本做到收支平衡、运行可控。</w:t>
      </w:r>
      <w:r>
        <w:rPr>
          <w:rFonts w:ascii="Times New Roman" w:hAnsi="Times New Roman" w:eastAsia="仿宋_GB2312"/>
          <w:color w:val="000000" w:themeColor="text1"/>
          <w:sz w:val="32"/>
          <w:szCs w:val="32"/>
        </w:rPr>
        <w:t>其中城镇职工医保（含生育保险）收入414.57亿元、支出340亿元（含</w:t>
      </w:r>
      <w:r>
        <w:rPr>
          <w:rFonts w:ascii="Times New Roman" w:hAnsi="Times New Roman" w:eastAsia="仿宋_GB2312"/>
          <w:color w:val="000000"/>
          <w:sz w:val="32"/>
          <w:szCs w:val="32"/>
        </w:rPr>
        <w:t>生育保险待遇支出20.76亿元），城乡居民医保收入468.43亿元、支出453.77亿元（含大病保险支出35.31亿元）。</w:t>
      </w:r>
    </w:p>
    <w:p>
      <w:pPr>
        <w:pStyle w:val="2"/>
        <w:spacing w:line="600" w:lineRule="exact"/>
        <w:ind w:firstLine="640" w:firstLineChars="200"/>
        <w:rPr>
          <w:rFonts w:ascii="Times New Roman" w:hAnsi="Times New Roman" w:eastAsia="仿宋_GB2312"/>
          <w:snapToGrid w:val="0"/>
          <w:color w:val="000000"/>
          <w:kern w:val="0"/>
          <w:sz w:val="32"/>
          <w:szCs w:val="32"/>
          <w:u w:val="single"/>
        </w:rPr>
      </w:pPr>
      <w:r>
        <w:rPr>
          <w:rFonts w:hint="eastAsia" w:ascii="黑体" w:hAnsi="黑体" w:eastAsia="黑体" w:cs="黑体"/>
          <w:sz w:val="32"/>
          <w:szCs w:val="32"/>
        </w:rPr>
        <w:t>二、全力做好疫情防控医疗保障工作，助力打赢疫情防控阻击战。</w:t>
      </w:r>
      <w:r>
        <w:rPr>
          <w:rFonts w:ascii="Times New Roman" w:hAnsi="Times New Roman" w:eastAsia="仿宋_GB2312"/>
          <w:sz w:val="32"/>
          <w:szCs w:val="32"/>
        </w:rPr>
        <w:t>疫情期间，医保部门坚决做到两个“确保”：确保患者不因费用影响就医、确保医院不因支付政策影响救治，为我省疫情防控做出了应有的贡献。</w:t>
      </w:r>
      <w:r>
        <w:rPr>
          <w:rFonts w:ascii="Times New Roman" w:hAnsi="Times New Roman" w:eastAsia="仿宋_GB2312"/>
          <w:b/>
          <w:bCs/>
          <w:sz w:val="32"/>
          <w:szCs w:val="32"/>
        </w:rPr>
        <w:t>一是提前安排了医保结算基金。</w:t>
      </w:r>
      <w:r>
        <w:rPr>
          <w:rFonts w:ascii="Times New Roman" w:hAnsi="Times New Roman" w:eastAsia="仿宋_GB2312"/>
          <w:sz w:val="32"/>
          <w:szCs w:val="32"/>
        </w:rPr>
        <w:t>疫情期间，全省医保系统提前向医疗机构拨付医保基金10.55亿元，并及时做好费用结算。</w:t>
      </w:r>
      <w:r>
        <w:rPr>
          <w:rFonts w:ascii="Times New Roman" w:hAnsi="Times New Roman" w:eastAsia="仿宋_GB2312"/>
          <w:b/>
          <w:bCs/>
          <w:sz w:val="32"/>
          <w:szCs w:val="32"/>
        </w:rPr>
        <w:t>二是有效保障了救治药品供应。</w:t>
      </w:r>
      <w:r>
        <w:rPr>
          <w:rFonts w:ascii="Times New Roman" w:hAnsi="Times New Roman" w:eastAsia="仿宋_GB2312"/>
          <w:sz w:val="32"/>
          <w:szCs w:val="32"/>
        </w:rPr>
        <w:t>疫情防控期间，共有174个药品通过“绿色通道”直接挂网采购，平台采购数量149.70万盒，采购金额6367.41万元。</w:t>
      </w:r>
      <w:r>
        <w:rPr>
          <w:rFonts w:ascii="Times New Roman" w:hAnsi="Times New Roman" w:eastAsia="仿宋_GB2312"/>
          <w:b/>
          <w:bCs/>
          <w:sz w:val="32"/>
          <w:szCs w:val="32"/>
        </w:rPr>
        <w:t>三是及时出台新冠肺炎检测筛查政策。</w:t>
      </w:r>
      <w:r>
        <w:rPr>
          <w:rFonts w:ascii="Times New Roman" w:hAnsi="Times New Roman" w:eastAsia="仿宋_GB2312"/>
          <w:sz w:val="32"/>
          <w:szCs w:val="32"/>
        </w:rPr>
        <w:t>设立新冠肺炎核酸检测和抗体检测价格项目，纳入住院医疗医保基金支付范围，并执行甲类报销。组建核酸试剂区域采购联盟，开展集中采购。最低中标价格为13.08元/人份，相较我省之前最高采购价格120元/人份，降幅达到89.1%。</w:t>
      </w:r>
      <w:r>
        <w:rPr>
          <w:rFonts w:ascii="Times New Roman" w:hAnsi="Times New Roman" w:eastAsia="仿宋_GB2312"/>
          <w:b/>
          <w:bCs/>
          <w:sz w:val="32"/>
          <w:szCs w:val="32"/>
        </w:rPr>
        <w:t>四是支持企业复工复产。</w:t>
      </w:r>
      <w:r>
        <w:rPr>
          <w:rFonts w:ascii="Times New Roman" w:hAnsi="Times New Roman" w:eastAsia="仿宋_GB2312"/>
          <w:sz w:val="32"/>
          <w:szCs w:val="32"/>
        </w:rPr>
        <w:t>出台了全省阶段性减征及缓缴职工基本医疗保险费的政策，共减征参保单位职工医保费28.80亿元。3月份，省委专题听取我省疫情防控医疗保障工作汇报，并给予了充分肯定。</w:t>
      </w:r>
    </w:p>
    <w:p>
      <w:pPr>
        <w:spacing w:line="600" w:lineRule="exact"/>
        <w:ind w:firstLine="640" w:firstLineChars="200"/>
        <w:rPr>
          <w:rFonts w:ascii="Times New Roman" w:hAnsi="Times New Roman" w:eastAsia="楷体_GB2312"/>
          <w:sz w:val="32"/>
          <w:szCs w:val="32"/>
        </w:rPr>
      </w:pPr>
      <w:r>
        <w:rPr>
          <w:rFonts w:hint="eastAsia" w:ascii="黑体" w:hAnsi="黑体" w:eastAsia="黑体" w:cs="黑体"/>
          <w:snapToGrid w:val="0"/>
          <w:kern w:val="0"/>
          <w:sz w:val="32"/>
          <w:szCs w:val="32"/>
        </w:rPr>
        <w:t>三、</w:t>
      </w:r>
      <w:r>
        <w:rPr>
          <w:rFonts w:hint="eastAsia" w:ascii="黑体" w:hAnsi="黑体" w:eastAsia="黑体" w:cs="黑体"/>
          <w:sz w:val="32"/>
          <w:szCs w:val="32"/>
        </w:rPr>
        <w:t>精准实施医保扶贫，</w:t>
      </w:r>
      <w:r>
        <w:rPr>
          <w:rFonts w:hint="eastAsia" w:ascii="黑体" w:hAnsi="黑体" w:eastAsia="黑体" w:cs="黑体"/>
          <w:snapToGrid w:val="0"/>
          <w:kern w:val="0"/>
          <w:sz w:val="32"/>
          <w:szCs w:val="32"/>
        </w:rPr>
        <w:t>高质量打赢医疗保障扶贫收官战。</w:t>
      </w:r>
      <w:r>
        <w:rPr>
          <w:rFonts w:ascii="Times New Roman" w:hAnsi="Times New Roman" w:eastAsia="仿宋_GB2312"/>
          <w:b/>
          <w:bCs/>
          <w:sz w:val="32"/>
          <w:szCs w:val="32"/>
        </w:rPr>
        <w:t>一是实现贫困人口100%参保。</w:t>
      </w:r>
      <w:r>
        <w:rPr>
          <w:rFonts w:ascii="Times New Roman" w:hAnsi="Times New Roman" w:eastAsia="仿宋_GB2312"/>
          <w:sz w:val="32"/>
          <w:szCs w:val="32"/>
        </w:rPr>
        <w:t>全</w:t>
      </w:r>
      <w:r>
        <w:rPr>
          <w:rFonts w:ascii="Times New Roman" w:hAnsi="Times New Roman" w:eastAsia="仿宋_GB2312"/>
          <w:snapToGrid w:val="0"/>
          <w:kern w:val="0"/>
          <w:sz w:val="32"/>
          <w:szCs w:val="32"/>
        </w:rPr>
        <w:t>面清理摸排贫困人员（建档立卡贫困人员、城乡低保对象、特困人员、贫困残疾人、兜底保障对象）参保情况，全面落实资助参保政策。</w:t>
      </w:r>
      <w:r>
        <w:rPr>
          <w:rFonts w:ascii="Times New Roman" w:hAnsi="Times New Roman" w:eastAsia="仿宋_GB2312"/>
          <w:color w:val="000000"/>
          <w:sz w:val="32"/>
          <w:szCs w:val="32"/>
        </w:rPr>
        <w:t>全省</w:t>
      </w:r>
      <w:r>
        <w:rPr>
          <w:rFonts w:ascii="Times New Roman" w:hAnsi="Times New Roman" w:eastAsia="仿宋_GB2312"/>
          <w:sz w:val="32"/>
          <w:szCs w:val="32"/>
        </w:rPr>
        <w:t>576.76万建档立卡贫困人口实现全部参保</w:t>
      </w:r>
      <w:r>
        <w:rPr>
          <w:rFonts w:ascii="Times New Roman" w:hAnsi="Times New Roman" w:eastAsia="仿宋_GB2312"/>
          <w:snapToGrid w:val="0"/>
          <w:kern w:val="0"/>
          <w:sz w:val="32"/>
          <w:szCs w:val="32"/>
        </w:rPr>
        <w:t>。</w:t>
      </w:r>
      <w:r>
        <w:rPr>
          <w:rFonts w:ascii="Times New Roman" w:hAnsi="Times New Roman" w:eastAsia="仿宋_GB2312"/>
          <w:b/>
          <w:bCs/>
          <w:sz w:val="32"/>
          <w:szCs w:val="32"/>
        </w:rPr>
        <w:t>二是扎实做好健康扶贫“一站式”结算。</w:t>
      </w:r>
      <w:r>
        <w:rPr>
          <w:rFonts w:ascii="Times New Roman" w:hAnsi="Times New Roman" w:eastAsia="仿宋_GB2312"/>
          <w:snapToGrid w:val="0"/>
          <w:kern w:val="0"/>
          <w:sz w:val="32"/>
          <w:szCs w:val="32"/>
        </w:rPr>
        <w:t>坚决落实“一窗口办理，一单式结算”，让信息多跑路，让群众少跑腿，健康扶贫“一站式”结算资金到位率100%。今年1-11月，全省健康扶贫“一站式”结算共计215.14万人次、（105.28万人）结算医疗总费用102.95亿元，报销总金额88.4亿元，综合报销比例达到85.86%（县域内报销比例达89.09%）</w:t>
      </w:r>
      <w:r>
        <w:rPr>
          <w:rFonts w:ascii="Times New Roman" w:hAnsi="Times New Roman" w:eastAsia="仿宋_GB2312"/>
          <w:sz w:val="32"/>
          <w:szCs w:val="32"/>
        </w:rPr>
        <w:t>。</w:t>
      </w:r>
    </w:p>
    <w:p>
      <w:pPr>
        <w:pStyle w:val="5"/>
        <w:widowControl w:val="0"/>
        <w:spacing w:before="0" w:beforeAutospacing="0" w:after="0" w:afterAutospacing="0" w:line="600" w:lineRule="exact"/>
        <w:ind w:firstLine="640" w:firstLineChars="200"/>
        <w:jc w:val="both"/>
        <w:rPr>
          <w:rFonts w:ascii="Times New Roman" w:hAnsi="Times New Roman" w:eastAsia="仿宋_GB2312" w:cs="Times New Roman"/>
          <w:snapToGrid w:val="0"/>
          <w:sz w:val="32"/>
          <w:szCs w:val="32"/>
        </w:rPr>
      </w:pPr>
      <w:r>
        <w:rPr>
          <w:rFonts w:hint="eastAsia" w:ascii="黑体" w:hAnsi="黑体" w:eastAsia="黑体" w:cs="黑体"/>
          <w:kern w:val="2"/>
          <w:sz w:val="32"/>
          <w:szCs w:val="32"/>
        </w:rPr>
        <w:t>四、深入推进医药集中带量采购，切实减轻人民群众用药负担。</w:t>
      </w:r>
      <w:r>
        <w:rPr>
          <w:rFonts w:ascii="Times New Roman" w:hAnsi="Times New Roman" w:eastAsia="仿宋_GB2312" w:cs="Times New Roman"/>
          <w:b/>
          <w:bCs/>
          <w:kern w:val="2"/>
          <w:sz w:val="32"/>
          <w:szCs w:val="32"/>
        </w:rPr>
        <w:t>一是全面完成抗菌药物带量采购。</w:t>
      </w:r>
      <w:r>
        <w:rPr>
          <w:rFonts w:ascii="Times New Roman" w:hAnsi="Times New Roman" w:eastAsia="仿宋_GB2312" w:cs="Times New Roman"/>
          <w:snapToGrid w:val="0"/>
          <w:color w:val="000000"/>
          <w:sz w:val="32"/>
          <w:szCs w:val="32"/>
        </w:rPr>
        <w:t>我省率先在全国实施抗菌药物带量采购，154个中标药品，在全国最低价基础上，价格平均降幅达到35%，最高降幅达到88%。按2019年全省抗菌药物年采购数量测算，每年度可节省药费支出17亿元。此次专项采购从2020年5月1日起执行，截至12月8日，全省3053家医疗机构共采购抗菌药物19.23亿</w:t>
      </w:r>
      <w:r>
        <w:rPr>
          <w:rFonts w:ascii="Times New Roman" w:hAnsi="Times New Roman" w:eastAsia="仿宋_GB2312" w:cs="Times New Roman"/>
          <w:spacing w:val="-4"/>
          <w:sz w:val="32"/>
          <w:szCs w:val="32"/>
        </w:rPr>
        <w:t>元，与去年同期采购总金额31.38亿元相比，下降38.72%。</w:t>
      </w:r>
      <w:r>
        <w:rPr>
          <w:rFonts w:ascii="Times New Roman" w:hAnsi="Times New Roman" w:eastAsia="仿宋_GB2312" w:cs="Times New Roman"/>
          <w:sz w:val="32"/>
          <w:szCs w:val="32"/>
        </w:rPr>
        <w:t>4月30日，达哲书记对我省抗菌药物带量采购工作给予充分肯定，并作出重要批示：好！医改成效明显。</w:t>
      </w:r>
      <w:r>
        <w:rPr>
          <w:rFonts w:ascii="Times New Roman" w:hAnsi="Times New Roman" w:eastAsia="仿宋_GB2312" w:cs="Times New Roman"/>
          <w:b/>
          <w:bCs/>
          <w:kern w:val="2"/>
          <w:sz w:val="32"/>
          <w:szCs w:val="32"/>
        </w:rPr>
        <w:t>二是启动医用耗材带量采购。</w:t>
      </w:r>
      <w:r>
        <w:rPr>
          <w:rFonts w:ascii="Times New Roman" w:hAnsi="Times New Roman" w:eastAsia="仿宋_GB2312" w:cs="Times New Roman"/>
          <w:snapToGrid w:val="0"/>
          <w:sz w:val="32"/>
          <w:szCs w:val="32"/>
        </w:rPr>
        <w:t>研究出台《湖南省公立医疗机构部分医用耗材带量采购方案》，选取</w:t>
      </w:r>
      <w:r>
        <w:rPr>
          <w:rFonts w:ascii="Times New Roman" w:hAnsi="Times New Roman" w:eastAsia="FangSong_GB2312" w:cs="Times New Roman"/>
          <w:sz w:val="32"/>
          <w:szCs w:val="32"/>
        </w:rPr>
        <w:t>吻合器类</w:t>
      </w:r>
      <w:r>
        <w:rPr>
          <w:rFonts w:ascii="Times New Roman" w:hAnsi="Times New Roman" w:eastAsia="仿宋_GB2312" w:cs="Times New Roman"/>
          <w:kern w:val="2"/>
          <w:sz w:val="32"/>
          <w:szCs w:val="32"/>
        </w:rPr>
        <w:t>、</w:t>
      </w:r>
      <w:r>
        <w:rPr>
          <w:rFonts w:ascii="Times New Roman" w:hAnsi="Times New Roman" w:eastAsia="FangSong_GB2312" w:cs="Times New Roman"/>
          <w:sz w:val="32"/>
          <w:szCs w:val="32"/>
        </w:rPr>
        <w:t>骨科创伤类</w:t>
      </w:r>
      <w:r>
        <w:rPr>
          <w:rFonts w:ascii="Times New Roman" w:hAnsi="Times New Roman" w:eastAsia="仿宋_GB2312" w:cs="Times New Roman"/>
          <w:kern w:val="2"/>
          <w:sz w:val="32"/>
          <w:szCs w:val="32"/>
        </w:rPr>
        <w:t>和</w:t>
      </w:r>
      <w:r>
        <w:rPr>
          <w:rFonts w:ascii="Times New Roman" w:hAnsi="Times New Roman" w:eastAsia="FangSong_GB2312" w:cs="Times New Roman"/>
          <w:sz w:val="32"/>
          <w:szCs w:val="32"/>
        </w:rPr>
        <w:t>冠脉扩张球囊类</w:t>
      </w:r>
      <w:r>
        <w:rPr>
          <w:rFonts w:ascii="Times New Roman" w:hAnsi="Times New Roman" w:eastAsia="仿宋_GB2312" w:cs="Times New Roman"/>
          <w:kern w:val="2"/>
          <w:sz w:val="32"/>
          <w:szCs w:val="32"/>
        </w:rPr>
        <w:t>等3类高值医用耗材实施带量采购，中标产品整体降幅将超过65%。</w:t>
      </w:r>
    </w:p>
    <w:p>
      <w:pPr>
        <w:spacing w:line="600" w:lineRule="exact"/>
        <w:ind w:firstLine="640" w:firstLineChars="200"/>
        <w:rPr>
          <w:rFonts w:ascii="Times New Roman" w:hAnsi="Times New Roman" w:eastAsia="仿宋_GB2312"/>
          <w:color w:val="000000"/>
          <w:sz w:val="32"/>
          <w:szCs w:val="32"/>
        </w:rPr>
      </w:pPr>
      <w:r>
        <w:rPr>
          <w:rFonts w:hint="eastAsia" w:ascii="黑体" w:hAnsi="黑体" w:eastAsia="黑体" w:cs="黑体"/>
          <w:sz w:val="32"/>
          <w:szCs w:val="32"/>
        </w:rPr>
        <w:t>五、全面做实医保市级统筹，全省医保基金筹资运行更加稳健。</w:t>
      </w:r>
      <w:r>
        <w:rPr>
          <w:rFonts w:ascii="Times New Roman" w:hAnsi="Times New Roman" w:eastAsia="仿宋_GB2312"/>
          <w:sz w:val="32"/>
          <w:szCs w:val="32"/>
        </w:rPr>
        <w:t>全面做实医保市级统筹列入了省委重点突破的关键改革事项和2020年省政府真抓实干督查工作范围。我们按照省委省政府的有关要求，对市州加强指导，全力推进这项工作。截至目前，全省14个市州全部出台基本医疗保险市级统筹实施办法和风</w:t>
      </w:r>
      <w:r>
        <w:rPr>
          <w:rFonts w:ascii="Times New Roman" w:hAnsi="Times New Roman" w:eastAsia="仿宋_GB2312"/>
          <w:color w:val="000000"/>
          <w:sz w:val="32"/>
          <w:szCs w:val="32"/>
        </w:rPr>
        <w:t>险储备基金管理办法</w:t>
      </w:r>
      <w:r>
        <w:rPr>
          <w:rFonts w:ascii="Times New Roman" w:hAnsi="Times New Roman" w:eastAsia="仿宋_GB2312"/>
          <w:sz w:val="32"/>
          <w:szCs w:val="32"/>
        </w:rPr>
        <w:t>，全面实现医保基金市级统收统支，</w:t>
      </w:r>
      <w:r>
        <w:rPr>
          <w:rFonts w:ascii="Times New Roman" w:hAnsi="Times New Roman" w:eastAsia="仿宋_GB2312"/>
          <w:color w:val="000000"/>
          <w:sz w:val="32"/>
          <w:szCs w:val="32"/>
        </w:rPr>
        <w:t>更好地发挥医疗保险“大数法则”效应，显著增强基金整体抗风险能力。</w:t>
      </w:r>
    </w:p>
    <w:p>
      <w:pPr>
        <w:spacing w:line="600" w:lineRule="exact"/>
        <w:ind w:firstLine="640" w:firstLineChars="200"/>
        <w:rPr>
          <w:rFonts w:ascii="Times New Roman" w:hAnsi="Times New Roman" w:eastAsia="仿宋_GB2312"/>
          <w:bCs/>
          <w:sz w:val="32"/>
          <w:szCs w:val="32"/>
        </w:rPr>
      </w:pPr>
      <w:r>
        <w:rPr>
          <w:rFonts w:hint="eastAsia" w:ascii="黑体" w:hAnsi="黑体" w:eastAsia="黑体" w:cs="黑体"/>
          <w:sz w:val="32"/>
          <w:szCs w:val="32"/>
        </w:rPr>
        <w:t>六、持续加强医保基金监管，切实守护好老百姓的“救命钱”。</w:t>
      </w:r>
      <w:r>
        <w:rPr>
          <w:rFonts w:ascii="Times New Roman" w:hAnsi="Times New Roman" w:eastAsia="仿宋_GB2312"/>
          <w:bCs/>
          <w:sz w:val="32"/>
          <w:szCs w:val="32"/>
        </w:rPr>
        <w:t>截至12月20日，全省共检查定点医疗机构22998家，检查覆盖率90.16%；处理违法违规医疗机构15548家，其中暂停服务协议287家、解除服务协议63家、移交司法机关9家，共计追回医保基金损失（含处罚金）13亿元。2020年医保基金监管成效明显：一是医疗机构医保违规金额明显减少，全年飞行检查发现的违规资金率为0.64%，较2019年（2.64%）下降了2个百分点，降幅76%；二是控费效果明显，1-10月，部省属医院均次医疗费用较2019年下降了2.23%。</w:t>
      </w:r>
    </w:p>
    <w:p>
      <w:pPr>
        <w:spacing w:line="600" w:lineRule="exact"/>
        <w:ind w:firstLine="640" w:firstLineChars="200"/>
        <w:rPr>
          <w:rFonts w:ascii="Times New Roman" w:hAnsi="Times New Roman" w:eastAsia="仿宋_GB2312"/>
          <w:color w:val="000000"/>
          <w:sz w:val="32"/>
          <w:szCs w:val="32"/>
        </w:rPr>
      </w:pPr>
      <w:r>
        <w:rPr>
          <w:rFonts w:hint="eastAsia" w:ascii="黑体" w:hAnsi="黑体" w:eastAsia="黑体" w:cs="黑体"/>
          <w:sz w:val="32"/>
          <w:szCs w:val="32"/>
        </w:rPr>
        <w:t>七、统一全省医院制剂医保目录，支持中医药产业发展。</w:t>
      </w:r>
      <w:r>
        <w:rPr>
          <w:rFonts w:ascii="Times New Roman" w:hAnsi="Times New Roman" w:eastAsia="仿宋_GB2312"/>
          <w:sz w:val="32"/>
          <w:szCs w:val="32"/>
        </w:rPr>
        <w:t>出台了</w:t>
      </w:r>
      <w:r>
        <w:rPr>
          <w:rFonts w:ascii="Times New Roman" w:hAnsi="Times New Roman" w:eastAsia="仿宋_GB2312"/>
          <w:sz w:val="32"/>
        </w:rPr>
        <w:t>《湖南省基本医疗保险和生育保险医疗机构制剂目录（2020 版）》</w:t>
      </w:r>
      <w:r>
        <w:rPr>
          <w:rFonts w:ascii="Times New Roman" w:hAnsi="Times New Roman" w:eastAsia="仿宋_GB2312"/>
          <w:color w:val="000000"/>
          <w:sz w:val="32"/>
          <w:szCs w:val="32"/>
        </w:rPr>
        <w:t>，收录医院制剂584种，其中中成药有488种，统一了目录制定和调整权限，明确了纳入原则和支付标准，建立了谈判协商和动态调整机制。我省是全国首个制定统一医院制剂医保目录的省份。</w:t>
      </w:r>
      <w:r>
        <w:rPr>
          <w:rFonts w:ascii="Times New Roman" w:hAnsi="Times New Roman" w:eastAsia="仿宋_GB2312"/>
          <w:sz w:val="32"/>
          <w:szCs w:val="32"/>
        </w:rPr>
        <w:t>制定《关于加</w:t>
      </w:r>
      <w:r>
        <w:rPr>
          <w:rFonts w:ascii="Times New Roman" w:hAnsi="Times New Roman" w:eastAsia="仿宋_GB2312"/>
          <w:color w:val="000000"/>
          <w:sz w:val="32"/>
          <w:szCs w:val="32"/>
        </w:rPr>
        <w:t>强医疗保障支持中医药传承创新发展若干试行措施的意见》，提出将</w:t>
      </w:r>
      <w:r>
        <w:rPr>
          <w:rFonts w:ascii="Times New Roman" w:hAnsi="Times New Roman" w:eastAsia="仿宋_GB2312"/>
          <w:sz w:val="32"/>
          <w:szCs w:val="32"/>
        </w:rPr>
        <w:t>中医医疗机构及时纳入医保定点、医保提高中医药服务报销比例、新增中医医疗服务项目、调整中医医疗服务收费标准等10条重点措施，</w:t>
      </w:r>
      <w:r>
        <w:rPr>
          <w:rFonts w:ascii="Times New Roman" w:hAnsi="Times New Roman" w:eastAsia="仿宋_GB2312"/>
          <w:bCs/>
          <w:sz w:val="32"/>
          <w:szCs w:val="32"/>
        </w:rPr>
        <w:t>推动我省中医药事业高质量发展，加快构建湖湘中医药传承创新体系。</w:t>
      </w:r>
    </w:p>
    <w:p>
      <w:pPr>
        <w:spacing w:line="600" w:lineRule="exact"/>
        <w:ind w:firstLine="640" w:firstLineChars="200"/>
        <w:rPr>
          <w:rFonts w:ascii="Times New Roman" w:hAnsi="Times New Roman" w:eastAsia="仿宋_GB2312"/>
          <w:sz w:val="32"/>
          <w:szCs w:val="32"/>
        </w:rPr>
      </w:pPr>
      <w:r>
        <w:rPr>
          <w:rFonts w:hint="eastAsia" w:ascii="黑体" w:hAnsi="黑体" w:eastAsia="黑体" w:cs="黑体"/>
          <w:sz w:val="32"/>
          <w:szCs w:val="32"/>
        </w:rPr>
        <w:t>八、深化医保支付方式改革，提高医疗服务管理质量。</w:t>
      </w:r>
      <w:r>
        <w:rPr>
          <w:rFonts w:ascii="Times New Roman" w:hAnsi="Times New Roman" w:eastAsia="仿宋_GB2312"/>
          <w:sz w:val="32"/>
          <w:szCs w:val="32"/>
        </w:rPr>
        <w:t>指导湘潭、郴州深入开展DRG试点，两市均已顺利通过模拟运行评估，其中湘潭在国家试点监测评估中被评定为“优秀”，试点医疗机构平均轻症住院人次同比下降6.56%，总病例数同比减少27.04%，总费用同比减少22.02%，医疗服务管理质量显著提升。</w:t>
      </w:r>
    </w:p>
    <w:p>
      <w:pPr>
        <w:pStyle w:val="9"/>
        <w:spacing w:line="600" w:lineRule="exact"/>
        <w:ind w:firstLine="640" w:firstLineChars="200"/>
        <w:jc w:val="both"/>
        <w:rPr>
          <w:rFonts w:hint="default" w:ascii="Times New Roman" w:hAnsi="Times New Roman" w:eastAsia="仿宋_GB2312"/>
          <w:color w:val="auto"/>
          <w:kern w:val="2"/>
          <w:sz w:val="32"/>
          <w:szCs w:val="32"/>
        </w:rPr>
      </w:pPr>
      <w:r>
        <w:rPr>
          <w:rFonts w:ascii="黑体" w:hAnsi="黑体" w:eastAsia="黑体" w:cs="黑体"/>
          <w:color w:val="auto"/>
          <w:kern w:val="2"/>
          <w:sz w:val="32"/>
          <w:szCs w:val="32"/>
        </w:rPr>
        <w:t>九、稳步推进医保信息平台建设，工作进展位居全国前列。</w:t>
      </w:r>
      <w:r>
        <w:rPr>
          <w:rFonts w:hint="default" w:ascii="Times New Roman" w:hAnsi="Times New Roman" w:eastAsia="仿宋_GB2312"/>
          <w:b/>
          <w:bCs/>
          <w:color w:val="auto"/>
          <w:kern w:val="2"/>
          <w:sz w:val="32"/>
          <w:szCs w:val="32"/>
        </w:rPr>
        <w:t>一是大力推广“湘医保”（医保电子凭证）。</w:t>
      </w:r>
      <w:r>
        <w:rPr>
          <w:rFonts w:hint="default" w:ascii="Times New Roman" w:hAnsi="Times New Roman" w:eastAsia="仿宋_GB2312"/>
          <w:color w:val="auto"/>
          <w:sz w:val="32"/>
          <w:szCs w:val="32"/>
        </w:rPr>
        <w:t>完成了“湘医保”服务平台内容建设，全省个人医保电子凭证激活量接近1000万人，试点应用医药机构达到1万多家，在线支付达13.33万笔、支付总金额1517.97万元。</w:t>
      </w:r>
      <w:r>
        <w:rPr>
          <w:rFonts w:hint="default" w:ascii="Times New Roman" w:hAnsi="Times New Roman" w:eastAsia="仿宋_GB2312"/>
          <w:color w:val="auto"/>
          <w:kern w:val="2"/>
          <w:sz w:val="32"/>
          <w:szCs w:val="32"/>
        </w:rPr>
        <w:t>打通微信、支付宝和14家合作银行激活渠道，在长沙、株洲、湘潭和省直单位开展个人账户异地消费流转试点，推广医保电子凭证移动支付功能场景应用。</w:t>
      </w:r>
      <w:r>
        <w:rPr>
          <w:rFonts w:hint="default" w:ascii="Times New Roman" w:hAnsi="Times New Roman" w:eastAsia="仿宋_GB2312"/>
          <w:color w:val="auto"/>
          <w:sz w:val="32"/>
          <w:szCs w:val="32"/>
        </w:rPr>
        <w:t>“湘医保”逐步成为我省医保政务服务的“绿色通道”和群众认可的“金字招牌”。</w:t>
      </w:r>
      <w:r>
        <w:rPr>
          <w:rFonts w:hint="default" w:ascii="Times New Roman" w:hAnsi="Times New Roman" w:eastAsia="仿宋_GB2312"/>
          <w:b/>
          <w:bCs/>
          <w:color w:val="auto"/>
          <w:kern w:val="2"/>
          <w:sz w:val="32"/>
          <w:szCs w:val="32"/>
        </w:rPr>
        <w:t>二是有力有序推进项目设计和建设。</w:t>
      </w:r>
      <w:r>
        <w:rPr>
          <w:rFonts w:hint="default" w:ascii="Times New Roman" w:hAnsi="Times New Roman" w:eastAsia="仿宋_GB2312"/>
          <w:color w:val="auto"/>
          <w:sz w:val="32"/>
          <w:szCs w:val="32"/>
        </w:rPr>
        <w:t>向国家争取专项财政补助资金3.4亿元</w:t>
      </w:r>
      <w:r>
        <w:rPr>
          <w:rFonts w:hint="default" w:ascii="Times New Roman" w:hAnsi="Times New Roman" w:eastAsia="仿宋_GB2312"/>
          <w:color w:val="auto"/>
          <w:kern w:val="2"/>
          <w:sz w:val="32"/>
          <w:szCs w:val="32"/>
        </w:rPr>
        <w:t>，全国排名第三位。</w:t>
      </w:r>
      <w:r>
        <w:rPr>
          <w:rFonts w:hint="default" w:ascii="Times New Roman" w:hAnsi="Times New Roman" w:eastAsia="仿宋_GB2312"/>
          <w:color w:val="auto"/>
          <w:sz w:val="32"/>
          <w:szCs w:val="32"/>
        </w:rPr>
        <w:t>制定了药品追溯、政务一体化、电子票据应用等重点工作建设方案，推进核心业务骨干网络规划设计，完成了项目设计、</w:t>
      </w:r>
      <w:r>
        <w:rPr>
          <w:rFonts w:hint="default" w:ascii="Times New Roman" w:hAnsi="Times New Roman" w:eastAsia="仿宋_GB2312"/>
          <w:color w:val="auto"/>
          <w:kern w:val="2"/>
          <w:sz w:val="32"/>
          <w:szCs w:val="32"/>
        </w:rPr>
        <w:t>立项、财评和总集监理招标。</w:t>
      </w:r>
      <w:r>
        <w:rPr>
          <w:rFonts w:hint="default" w:ascii="Times New Roman" w:hAnsi="Times New Roman" w:eastAsia="仿宋_GB2312"/>
          <w:sz w:val="32"/>
          <w:szCs w:val="32"/>
        </w:rPr>
        <w:t>同步推进标准化建设，全省11项医保信息编码标准维护完成率达到100%，在国家局通报中多次获得表扬。</w:t>
      </w:r>
    </w:p>
    <w:p>
      <w:pPr>
        <w:spacing w:line="600" w:lineRule="exact"/>
        <w:ind w:firstLine="640" w:firstLineChars="200"/>
        <w:rPr>
          <w:rFonts w:ascii="Times New Roman" w:hAnsi="Times New Roman" w:eastAsia="仿宋_GB2312"/>
          <w:sz w:val="32"/>
          <w:szCs w:val="32"/>
        </w:rPr>
      </w:pPr>
      <w:r>
        <w:rPr>
          <w:rFonts w:hint="eastAsia" w:ascii="黑体" w:hAnsi="黑体" w:eastAsia="黑体" w:cs="黑体"/>
          <w:sz w:val="32"/>
          <w:szCs w:val="32"/>
        </w:rPr>
        <w:t>十、持续优化医保经办服务，不断提高医保服务便捷性。</w:t>
      </w:r>
      <w:r>
        <w:rPr>
          <w:rFonts w:ascii="Times New Roman" w:hAnsi="Times New Roman" w:eastAsia="仿宋_GB2312"/>
          <w:b/>
          <w:bCs/>
          <w:sz w:val="32"/>
          <w:szCs w:val="32"/>
        </w:rPr>
        <w:t>一是统一规范全省医保经办服务事项。</w:t>
      </w:r>
      <w:r>
        <w:rPr>
          <w:rFonts w:ascii="Times New Roman" w:hAnsi="Times New Roman" w:eastAsia="仿宋_GB2312"/>
          <w:bCs/>
          <w:sz w:val="32"/>
          <w:szCs w:val="32"/>
        </w:rPr>
        <w:t>出台了全省医保经办政务服务事项清单和办事指南，</w:t>
      </w:r>
      <w:r>
        <w:rPr>
          <w:rFonts w:ascii="Times New Roman" w:hAnsi="Times New Roman" w:eastAsia="仿宋_GB2312"/>
          <w:sz w:val="32"/>
          <w:szCs w:val="32"/>
        </w:rPr>
        <w:t>努力解决医疗保障民生领域“难点、堵点、痛点”问题，有效提高群众办事效率</w:t>
      </w:r>
      <w:r>
        <w:rPr>
          <w:rFonts w:ascii="Times New Roman" w:hAnsi="Times New Roman" w:eastAsia="仿宋_GB2312"/>
          <w:bCs/>
          <w:sz w:val="32"/>
          <w:szCs w:val="32"/>
        </w:rPr>
        <w:t>。省本级经办机构实现申请材料精简60%，办理环节精简40%，平均办理时限缩短50%。</w:t>
      </w:r>
      <w:r>
        <w:rPr>
          <w:rFonts w:ascii="Times New Roman" w:hAnsi="Times New Roman" w:eastAsia="仿宋_GB2312"/>
          <w:b/>
          <w:bCs/>
          <w:sz w:val="32"/>
          <w:szCs w:val="32"/>
        </w:rPr>
        <w:t>二是大力推进医保经办便民服务。</w:t>
      </w:r>
      <w:r>
        <w:rPr>
          <w:rFonts w:ascii="Times New Roman" w:hAnsi="Times New Roman" w:eastAsia="仿宋_GB2312"/>
          <w:sz w:val="32"/>
          <w:szCs w:val="32"/>
        </w:rPr>
        <w:t>省本级医保经办机构于5月起</w:t>
      </w:r>
      <w:r>
        <w:rPr>
          <w:rFonts w:ascii="Times New Roman" w:hAnsi="Times New Roman" w:eastAsia="仿宋_GB2312"/>
          <w:bCs/>
          <w:sz w:val="32"/>
          <w:szCs w:val="32"/>
        </w:rPr>
        <w:t>正式入驻省政务服务中心医保窗口，按照“前台受理，后台办理”原则，实现一站式办理。</w:t>
      </w:r>
      <w:r>
        <w:rPr>
          <w:rFonts w:ascii="Times New Roman" w:hAnsi="Times New Roman" w:eastAsia="仿宋_GB2312"/>
          <w:sz w:val="32"/>
          <w:szCs w:val="32"/>
        </w:rPr>
        <w:t>自入驻以来，共受理业务2.1万件，平均每天近200件。出台了</w:t>
      </w:r>
      <w:r>
        <w:rPr>
          <w:rFonts w:ascii="Times New Roman" w:hAnsi="Times New Roman" w:eastAsia="仿宋_GB2312"/>
          <w:bCs/>
          <w:sz w:val="32"/>
          <w:szCs w:val="32"/>
        </w:rPr>
        <w:t>《湖南省医疗保障窗口服务人员行为规范》，指导全省各级经办窗口规范业务管理，提高服务质量，全面推进好差评制度，健全投诉举报制度，提升办事群众满意度。</w:t>
      </w:r>
      <w:r>
        <w:rPr>
          <w:rFonts w:ascii="Times New Roman" w:hAnsi="Times New Roman" w:eastAsia="仿宋_GB2312"/>
          <w:b/>
          <w:bCs/>
          <w:sz w:val="32"/>
          <w:szCs w:val="32"/>
        </w:rPr>
        <w:t>三是进一步优化异地就医服务。</w:t>
      </w:r>
      <w:r>
        <w:rPr>
          <w:rFonts w:ascii="Times New Roman" w:hAnsi="Times New Roman" w:eastAsia="仿宋_GB2312"/>
          <w:sz w:val="32"/>
          <w:szCs w:val="32"/>
        </w:rPr>
        <w:t>扩大跨省异地就医联网医疗机构覆盖面，简化跨省异地就医人员备案流程，及时做好费用结算。1-11月，全省跨省异地就医直接结算13.36万人次，同比增长9.59%；累计接入跨省定点医疗机构782家，同比增长23.15%。</w:t>
      </w:r>
    </w:p>
    <w:sectPr>
      <w:footerReference r:id="rId3" w:type="default"/>
      <w:pgSz w:w="11906" w:h="16838"/>
      <w:pgMar w:top="1984" w:right="1474" w:bottom="1474" w:left="1474"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简体">
    <w:altName w:val="微软雅黑"/>
    <w:panose1 w:val="00000000000000000000"/>
    <w:charset w:val="86"/>
    <w:family w:val="script"/>
    <w:pitch w:val="default"/>
    <w:sig w:usb0="00000000" w:usb1="00000000" w:usb2="0000000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FangSong_GB2312">
    <w:altName w:val="仿宋_GB2312"/>
    <w:panose1 w:val="00000000000000000000"/>
    <w:charset w:val="00"/>
    <w:family w:val="roman"/>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0mU5cw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cur1Tqjv72GGmkPGnqMMISw+TQ+2Wu066lBXns56qH/2v7F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XSZTlzAEAAKcDAAAOAAAAAAAAAAEAIAAAAB4BAABkcnMvZTJv&#10;RG9jLnhtbFBLBQYAAAAABgAGAFkBAABcBQAAAAA=&#10;">
              <v:fill on="f" focussize="0,0"/>
              <v:stroke on="f"/>
              <v:imagedata o:title=""/>
              <o:lock v:ext="edit" aspectratio="f"/>
              <v:textbox inset="0mm,0mm,0mm,0mm" style="mso-fit-shape-to-text:t;">
                <w:txbxContent>
                  <w:p>
                    <w:pPr>
                      <w:pStyle w:val="2"/>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ascii="仿宋_GB2312" w:hAnsi="仿宋_GB2312" w:eastAsia="仿宋_GB2312" w:cs="仿宋_GB2312"/>
                        <w:sz w:val="28"/>
                        <w:szCs w:val="28"/>
                      </w:rPr>
                      <w:t>- 1 -</w:t>
                    </w:r>
                    <w:r>
                      <w:rPr>
                        <w:rFonts w:hint="eastAsia" w:ascii="仿宋_GB2312" w:hAnsi="仿宋_GB2312" w:eastAsia="仿宋_GB2312" w:cs="仿宋_GB2312"/>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D72381"/>
    <w:rsid w:val="001A1444"/>
    <w:rsid w:val="0066533E"/>
    <w:rsid w:val="00754B3D"/>
    <w:rsid w:val="00911F88"/>
    <w:rsid w:val="01F447D6"/>
    <w:rsid w:val="05F51457"/>
    <w:rsid w:val="07A24692"/>
    <w:rsid w:val="07F809AC"/>
    <w:rsid w:val="09640323"/>
    <w:rsid w:val="0AB2700C"/>
    <w:rsid w:val="0DE52BB9"/>
    <w:rsid w:val="120A2B90"/>
    <w:rsid w:val="125841BF"/>
    <w:rsid w:val="16C92D01"/>
    <w:rsid w:val="18C45E73"/>
    <w:rsid w:val="1CF64A9C"/>
    <w:rsid w:val="206346A7"/>
    <w:rsid w:val="209D4649"/>
    <w:rsid w:val="228912C9"/>
    <w:rsid w:val="23EB0D64"/>
    <w:rsid w:val="24154F39"/>
    <w:rsid w:val="254F5F24"/>
    <w:rsid w:val="25C866BE"/>
    <w:rsid w:val="26C754F7"/>
    <w:rsid w:val="32911524"/>
    <w:rsid w:val="330C6321"/>
    <w:rsid w:val="33754ABC"/>
    <w:rsid w:val="359438A9"/>
    <w:rsid w:val="359751A4"/>
    <w:rsid w:val="3D5A25C4"/>
    <w:rsid w:val="43E65169"/>
    <w:rsid w:val="44A97523"/>
    <w:rsid w:val="460125B9"/>
    <w:rsid w:val="48BC0718"/>
    <w:rsid w:val="548B3AE8"/>
    <w:rsid w:val="56BC737A"/>
    <w:rsid w:val="576004C0"/>
    <w:rsid w:val="57FA6485"/>
    <w:rsid w:val="5B457C20"/>
    <w:rsid w:val="5ECA446E"/>
    <w:rsid w:val="60BC2F80"/>
    <w:rsid w:val="658E2E2E"/>
    <w:rsid w:val="69DE0807"/>
    <w:rsid w:val="6AAD4FFA"/>
    <w:rsid w:val="73D72381"/>
    <w:rsid w:val="75FD420D"/>
    <w:rsid w:val="77223D4C"/>
    <w:rsid w:val="794E7AB3"/>
    <w:rsid w:val="7AF07FF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4">
    <w:name w:val="heading 1"/>
    <w:basedOn w:val="1"/>
    <w:next w:val="1"/>
    <w:qFormat/>
    <w:uiPriority w:val="0"/>
    <w:pPr>
      <w:keepNext/>
      <w:keepLines/>
      <w:adjustRightInd w:val="0"/>
      <w:snapToGrid w:val="0"/>
      <w:spacing w:line="360" w:lineRule="auto"/>
      <w:ind w:firstLine="560" w:firstLineChars="200"/>
      <w:jc w:val="left"/>
      <w:outlineLvl w:val="0"/>
    </w:pPr>
    <w:rPr>
      <w:rFonts w:ascii="Times New Roman" w:hAnsi="Times New Roman" w:eastAsia="黑体"/>
      <w:kern w:val="44"/>
      <w:sz w:val="4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unhideWhenUsed/>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character" w:styleId="8">
    <w:name w:val="Hyperlink"/>
    <w:basedOn w:val="7"/>
    <w:qFormat/>
    <w:uiPriority w:val="0"/>
    <w:rPr>
      <w:color w:val="0000FF"/>
      <w:u w:val="single"/>
    </w:rPr>
  </w:style>
  <w:style w:type="paragraph" w:customStyle="1" w:styleId="9">
    <w:name w:val="Default"/>
    <w:unhideWhenUsed/>
    <w:qFormat/>
    <w:uiPriority w:val="99"/>
    <w:pPr>
      <w:widowControl w:val="0"/>
      <w:autoSpaceDE w:val="0"/>
      <w:autoSpaceDN w:val="0"/>
      <w:adjustRightInd w:val="0"/>
    </w:pPr>
    <w:rPr>
      <w:rFonts w:hint="eastAsia" w:ascii="方正仿宋简体" w:hAnsi="方正仿宋简体" w:eastAsia="方正仿宋简体" w:cs="Times New Roman"/>
      <w:color w:val="000000"/>
      <w:sz w:val="24"/>
      <w:szCs w:val="22"/>
      <w:lang w:val="en-US" w:eastAsia="zh-CN" w:bidi="ar-SA"/>
    </w:rPr>
  </w:style>
  <w:style w:type="paragraph" w:customStyle="1" w:styleId="10">
    <w:name w:val="Body text|1"/>
    <w:basedOn w:val="1"/>
    <w:qFormat/>
    <w:uiPriority w:val="0"/>
    <w:pPr>
      <w:spacing w:line="418" w:lineRule="auto"/>
      <w:ind w:firstLine="400"/>
    </w:pPr>
    <w:rPr>
      <w:rFonts w:ascii="宋体" w:hAnsi="宋体" w:cs="宋体"/>
      <w:sz w:val="30"/>
      <w:szCs w:val="30"/>
      <w:lang w:val="zh-TW" w:eastAsia="zh-TW" w:bidi="zh-TW"/>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6</Pages>
  <Words>1608</Words>
  <Characters>1625</Characters>
  <Lines>1625</Lines>
  <Paragraphs>538</Paragraphs>
  <TotalTime>0</TotalTime>
  <ScaleCrop>false</ScaleCrop>
  <LinksUpToDate>false</LinksUpToDate>
  <CharactersWithSpaces>2695</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2021-02-05T01:21:00Z</dcterms:created>
  <dc:creator>谭小龟</dc:creator>
  <cp:lastModifiedBy>luoyaqin</cp:lastModifiedBy>
  <cp:lastPrinted>2020-12-30T06:06:00Z</cp:lastPrinted>
  <dcterms:modified xsi:type="dcterms:W3CDTF">2021-02-07T01:59:12Z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