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eastAsia="仿宋_GB2312"/>
          <w:sz w:val="32"/>
          <w:szCs w:val="32"/>
        </w:rPr>
      </w:pPr>
      <w:bookmarkStart w:id="0" w:name="_GoBack"/>
      <w:bookmarkEnd w:id="0"/>
      <w:r>
        <w:rPr>
          <w:rFonts w:hint="eastAsia" w:ascii="仿宋_GB2312" w:eastAsia="仿宋_GB2312"/>
          <w:sz w:val="32"/>
          <w:szCs w:val="32"/>
        </w:rPr>
        <w:t>HNPR-2021-19001</w:t>
      </w:r>
    </w:p>
    <w:p>
      <w:pPr>
        <w:jc w:val="center"/>
        <w:rPr>
          <w:rFonts w:ascii="方正小标宋简体" w:eastAsia="方正小标宋简体"/>
          <w:sz w:val="44"/>
          <w:szCs w:val="44"/>
        </w:rPr>
      </w:pPr>
    </w:p>
    <w:p>
      <w:pPr>
        <w:adjustRightInd w:val="0"/>
        <w:snapToGrid w:val="0"/>
        <w:spacing w:line="276" w:lineRule="auto"/>
        <w:jc w:val="center"/>
        <w:rPr>
          <w:rFonts w:hint="eastAsia" w:ascii="方正小标宋简体" w:hAnsi="华文中宋" w:eastAsia="方正小标宋简体"/>
          <w:b/>
          <w:bCs/>
          <w:color w:val="FF0000"/>
          <w:spacing w:val="-20"/>
          <w:w w:val="78"/>
          <w:sz w:val="104"/>
          <w:szCs w:val="104"/>
        </w:rPr>
      </w:pPr>
      <w:r>
        <w:rPr>
          <w:rFonts w:hint="eastAsia" w:ascii="方正小标宋简体" w:hAnsi="华文中宋" w:eastAsia="方正小标宋简体"/>
          <w:b/>
          <w:bCs/>
          <w:color w:val="FF0000"/>
          <w:spacing w:val="-28"/>
          <w:w w:val="77"/>
          <w:sz w:val="104"/>
          <w:szCs w:val="104"/>
        </w:rPr>
        <w:t>湖南省文化和旅游厅文件</w:t>
      </w:r>
    </w:p>
    <w:p>
      <w:pPr>
        <w:snapToGrid w:val="0"/>
        <w:rPr>
          <w:rFonts w:hint="eastAsia"/>
          <w:sz w:val="36"/>
          <w:szCs w:val="36"/>
        </w:rPr>
      </w:pPr>
    </w:p>
    <w:p>
      <w:pPr>
        <w:jc w:val="center"/>
        <w:rPr>
          <w:rFonts w:hint="eastAsia" w:ascii="仿宋_GB2312" w:eastAsia="仿宋_GB2312"/>
          <w:sz w:val="32"/>
          <w:szCs w:val="32"/>
        </w:rPr>
      </w:pPr>
      <w:r>
        <w:rPr>
          <w:rFonts w:hint="eastAsia" w:ascii="仿宋_GB2312" w:eastAsia="仿宋_GB2312"/>
          <w:sz w:val="32"/>
          <w:szCs w:val="32"/>
        </w:rPr>
        <w:t>湘文旅资源〔2021〕80号</w:t>
      </w:r>
    </w:p>
    <w:p>
      <w:pPr>
        <w:pStyle w:val="9"/>
        <w:snapToGrid w:val="0"/>
        <w:rPr>
          <w:rFonts w:hint="eastAsia" w:ascii="仿宋_GB2312" w:hAnsi="仿宋" w:eastAsia="仿宋_GB2312"/>
          <w:sz w:val="32"/>
          <w:szCs w:val="32"/>
        </w:rPr>
      </w:pPr>
      <w:r>
        <w:rPr>
          <w:rFonts w:hint="eastAsia" w:ascii="仿宋_GB2312" w:hAnsi="仿宋" w:eastAsia="仿宋_GB2312"/>
          <w:color w:val="FFFFFF"/>
          <w:sz w:val="32"/>
          <w:szCs w:val="32"/>
        </w:rPr>
        <mc:AlternateContent>
          <mc:Choice Requires="wps">
            <w:drawing>
              <wp:anchor distT="0" distB="0" distL="114300" distR="114300" simplePos="0" relativeHeight="251660288" behindDoc="0" locked="0" layoutInCell="1" allowOverlap="1">
                <wp:simplePos x="0" y="0"/>
                <wp:positionH relativeFrom="column">
                  <wp:posOffset>-65405</wp:posOffset>
                </wp:positionH>
                <wp:positionV relativeFrom="paragraph">
                  <wp:posOffset>69850</wp:posOffset>
                </wp:positionV>
                <wp:extent cx="5755640" cy="0"/>
                <wp:effectExtent l="0" t="0" r="0" b="0"/>
                <wp:wrapSquare wrapText="bothSides"/>
                <wp:docPr id="1" name="直线 2"/>
                <wp:cNvGraphicFramePr/>
                <a:graphic xmlns:a="http://schemas.openxmlformats.org/drawingml/2006/main">
                  <a:graphicData uri="http://schemas.microsoft.com/office/word/2010/wordprocessingShape">
                    <wps:wsp>
                      <wps:cNvCnPr/>
                      <wps:spPr>
                        <a:xfrm>
                          <a:off x="0" y="0"/>
                          <a:ext cx="575564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5.15pt;margin-top:5.5pt;height:0pt;width:453.2pt;mso-wrap-distance-bottom:0pt;mso-wrap-distance-left:9pt;mso-wrap-distance-right:9pt;mso-wrap-distance-top:0pt;z-index:251660288;mso-width-relative:page;mso-height-relative:page;" filled="f" stroked="t" coordsize="21600,21600" o:gfxdata="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9m13L&#10;1gAAAAkBAAAPAAAAAAAAAAEAIAAAACIAAABkcnMvZG93bnJldi54bWxQSwECFAAUAAAACACHTuJA&#10;jbRWN+oBAADcAwAADgAAAAAAAAABACAAAAAlAQAAZHJzL2Uyb0RvYy54bWxQSwUGAAAAAAYABgBZ&#10;AQAAgQUAAAAA&#10;">
                <v:fill on="f" focussize="0,0"/>
                <v:stroke weight="2.25pt" color="#FF0000" joinstyle="round"/>
                <v:imagedata o:title=""/>
                <o:lock v:ext="edit" aspectratio="f"/>
                <w10:wrap type="square"/>
              </v:line>
            </w:pict>
          </mc:Fallback>
        </mc:AlternateContent>
      </w:r>
    </w:p>
    <w:p>
      <w:pPr>
        <w:snapToGrid w:val="0"/>
        <w:spacing w:line="300" w:lineRule="auto"/>
        <w:jc w:val="center"/>
        <w:rPr>
          <w:rFonts w:ascii="方正小标宋简体" w:eastAsia="方正小标宋简体"/>
          <w:sz w:val="44"/>
          <w:szCs w:val="44"/>
        </w:rPr>
      </w:pPr>
      <w:r>
        <w:rPr>
          <w:rFonts w:hint="eastAsia" w:ascii="方正小标宋简体" w:eastAsia="方正小标宋简体"/>
          <w:sz w:val="44"/>
          <w:szCs w:val="44"/>
        </w:rPr>
        <w:t>湖南省文化和旅游厅关于印发</w:t>
      </w:r>
    </w:p>
    <w:p>
      <w:pPr>
        <w:snapToGrid w:val="0"/>
        <w:spacing w:line="300" w:lineRule="auto"/>
        <w:jc w:val="center"/>
        <w:rPr>
          <w:rFonts w:ascii="方正小标宋简体" w:eastAsia="方正小标宋简体"/>
          <w:sz w:val="44"/>
          <w:szCs w:val="44"/>
        </w:rPr>
      </w:pPr>
      <w:r>
        <w:rPr>
          <w:rFonts w:hint="eastAsia" w:ascii="方正小标宋简体" w:eastAsia="方正小标宋简体"/>
          <w:sz w:val="44"/>
          <w:szCs w:val="44"/>
        </w:rPr>
        <w:t>《湖南省省级旅游度假区管理办法》的通知</w:t>
      </w:r>
    </w:p>
    <w:p>
      <w:pPr>
        <w:snapToGrid w:val="0"/>
        <w:spacing w:line="300" w:lineRule="auto"/>
        <w:rPr>
          <w:sz w:val="32"/>
          <w:szCs w:val="32"/>
        </w:rPr>
      </w:pPr>
    </w:p>
    <w:p>
      <w:pPr>
        <w:spacing w:line="580" w:lineRule="exact"/>
        <w:rPr>
          <w:rFonts w:ascii="仿宋_GB2312" w:eastAsia="仿宋_GB2312"/>
          <w:sz w:val="32"/>
          <w:szCs w:val="32"/>
        </w:rPr>
      </w:pPr>
      <w:r>
        <w:rPr>
          <w:rFonts w:hint="eastAsia" w:ascii="仿宋_GB2312" w:eastAsia="仿宋_GB2312"/>
          <w:sz w:val="32"/>
          <w:szCs w:val="32"/>
        </w:rPr>
        <w:t>各市州文化旅游广电（体育）局：</w:t>
      </w:r>
    </w:p>
    <w:p>
      <w:pPr>
        <w:spacing w:line="580" w:lineRule="exact"/>
        <w:ind w:firstLine="645"/>
        <w:rPr>
          <w:rFonts w:ascii="仿宋_GB2312" w:eastAsia="仿宋_GB2312"/>
          <w:sz w:val="32"/>
          <w:szCs w:val="32"/>
        </w:rPr>
      </w:pPr>
      <w:r>
        <w:rPr>
          <w:rFonts w:hint="eastAsia" w:ascii="仿宋_GB2312" w:eastAsia="仿宋_GB2312"/>
          <w:sz w:val="32"/>
          <w:szCs w:val="32"/>
        </w:rPr>
        <w:t>为了规范省级旅游度假区的认定和管理，促进我省旅游度假区高质量发展，根据文化和旅游部印发《国家级旅游度假区管理办法》的通知要求，制定《湖南省省级旅游度假区管理办法》，现印发给你们，请认真遵照执行。</w:t>
      </w:r>
    </w:p>
    <w:p>
      <w:pPr>
        <w:spacing w:line="580" w:lineRule="exact"/>
        <w:ind w:firstLine="645"/>
        <w:rPr>
          <w:rFonts w:ascii="仿宋_GB2312" w:eastAsia="仿宋_GB2312"/>
          <w:sz w:val="32"/>
          <w:szCs w:val="32"/>
        </w:rPr>
      </w:pPr>
      <w:r>
        <w:rPr>
          <w:rFonts w:hint="eastAsia" w:ascii="仿宋_GB2312" w:eastAsia="仿宋_GB2312"/>
          <w:sz w:val="32"/>
          <w:szCs w:val="32"/>
        </w:rPr>
        <w:t>特此通知。</w:t>
      </w:r>
    </w:p>
    <w:p/>
    <w:p/>
    <w:p>
      <w:pPr>
        <w:spacing w:line="580" w:lineRule="exact"/>
        <w:ind w:firstLine="5920" w:firstLineChars="1850"/>
        <w:rPr>
          <w:rFonts w:ascii="仿宋_GB2312" w:eastAsia="仿宋_GB2312"/>
          <w:sz w:val="32"/>
          <w:szCs w:val="32"/>
        </w:rPr>
      </w:pPr>
      <w:r>
        <w:rPr>
          <w:rFonts w:hint="eastAsia" w:ascii="仿宋_GB2312" w:eastAsia="仿宋_GB2312"/>
          <w:sz w:val="32"/>
          <w:szCs w:val="32"/>
        </w:rPr>
        <w:t>湖南省文化和旅游厅</w:t>
      </w:r>
    </w:p>
    <w:p>
      <w:pPr>
        <w:spacing w:line="580" w:lineRule="exact"/>
        <w:rPr>
          <w:rFonts w:ascii="仿宋_GB2312" w:eastAsia="仿宋_GB2312"/>
          <w:sz w:val="32"/>
          <w:szCs w:val="32"/>
        </w:rPr>
      </w:pPr>
      <w:r>
        <w:rPr>
          <w:rFonts w:hint="eastAsia" w:ascii="仿宋_GB2312" w:eastAsia="仿宋_GB2312"/>
          <w:sz w:val="32"/>
          <w:szCs w:val="32"/>
        </w:rPr>
        <w:t xml:space="preserve">                                       2021年</w:t>
      </w:r>
      <w:r>
        <w:rPr>
          <w:rFonts w:ascii="仿宋_GB2312" w:eastAsia="仿宋_GB2312"/>
          <w:sz w:val="32"/>
          <w:szCs w:val="32"/>
        </w:rPr>
        <w:t>7</w:t>
      </w:r>
      <w:r>
        <w:rPr>
          <w:rFonts w:hint="eastAsia" w:ascii="仿宋_GB2312" w:eastAsia="仿宋_GB2312"/>
          <w:sz w:val="32"/>
          <w:szCs w:val="32"/>
        </w:rPr>
        <w:t>月</w:t>
      </w:r>
      <w:r>
        <w:rPr>
          <w:rFonts w:ascii="仿宋_GB2312" w:eastAsia="仿宋_GB2312"/>
          <w:sz w:val="32"/>
          <w:szCs w:val="32"/>
        </w:rPr>
        <w:t>12</w:t>
      </w:r>
      <w:r>
        <w:rPr>
          <w:rFonts w:hint="eastAsia" w:ascii="仿宋_GB2312" w:eastAsia="仿宋_GB2312"/>
          <w:sz w:val="32"/>
          <w:szCs w:val="32"/>
        </w:rPr>
        <w:t>日</w:t>
      </w:r>
    </w:p>
    <w:p>
      <w:pPr>
        <w:jc w:val="center"/>
        <w:rPr>
          <w:rFonts w:ascii="方正小标宋简体" w:eastAsia="方正小标宋简体"/>
          <w:sz w:val="44"/>
          <w:szCs w:val="44"/>
        </w:rPr>
      </w:pPr>
      <w:r>
        <w:rPr>
          <w:rFonts w:hint="eastAsia" w:ascii="方正小标宋简体" w:eastAsia="方正小标宋简体"/>
          <w:sz w:val="44"/>
          <w:szCs w:val="44"/>
        </w:rPr>
        <w:t>湖南省省级旅游度假区管理办法</w:t>
      </w:r>
    </w:p>
    <w:p>
      <w:pPr>
        <w:rPr>
          <w:rFonts w:ascii="仿宋" w:eastAsia="仿宋"/>
          <w:sz w:val="32"/>
          <w:szCs w:val="32"/>
        </w:rPr>
      </w:pPr>
    </w:p>
    <w:p>
      <w:pPr>
        <w:ind w:firstLine="640" w:firstLineChars="200"/>
        <w:rPr>
          <w:rFonts w:ascii="仿宋" w:eastAsia="仿宋"/>
          <w:sz w:val="32"/>
          <w:szCs w:val="32"/>
        </w:rPr>
      </w:pPr>
      <w:r>
        <w:rPr>
          <w:rFonts w:hint="eastAsia" w:ascii="仿宋" w:eastAsia="仿宋"/>
          <w:sz w:val="32"/>
          <w:szCs w:val="32"/>
        </w:rPr>
        <w:t>第一条  为了规范省级旅游度假区的认定和管理，促进旅游度假区高质量发展，满足人民日益增长的旅游度假休闲需求，参照《国家级旅游度假区管理办法》特制定本办法。</w:t>
      </w:r>
    </w:p>
    <w:p>
      <w:pPr>
        <w:ind w:firstLine="640" w:firstLineChars="200"/>
        <w:rPr>
          <w:rFonts w:ascii="仿宋" w:eastAsia="仿宋"/>
          <w:sz w:val="32"/>
          <w:szCs w:val="32"/>
        </w:rPr>
      </w:pPr>
      <w:r>
        <w:rPr>
          <w:rFonts w:hint="eastAsia" w:ascii="仿宋" w:eastAsia="仿宋"/>
          <w:sz w:val="32"/>
          <w:szCs w:val="32"/>
        </w:rPr>
        <w:t>第二条  本办法所称旅游度假区，是指为旅游者提供度假休闲服务、有明确的空间边界和独立管理机构的区域。</w:t>
      </w:r>
    </w:p>
    <w:p>
      <w:pPr>
        <w:ind w:firstLine="640" w:firstLineChars="200"/>
        <w:rPr>
          <w:rFonts w:ascii="仿宋" w:eastAsia="仿宋"/>
          <w:sz w:val="32"/>
          <w:szCs w:val="32"/>
        </w:rPr>
      </w:pPr>
      <w:r>
        <w:rPr>
          <w:rFonts w:hint="eastAsia" w:ascii="仿宋" w:eastAsia="仿宋"/>
          <w:sz w:val="32"/>
          <w:szCs w:val="32"/>
        </w:rPr>
        <w:t>省级旅游度假区，是指符合国家标准《旅游度假区等级划分》（GB/T26358）相关要求，经省文化和旅游厅认定的旅游度假区。</w:t>
      </w:r>
    </w:p>
    <w:p>
      <w:pPr>
        <w:ind w:firstLine="640" w:firstLineChars="200"/>
        <w:rPr>
          <w:rFonts w:ascii="仿宋" w:eastAsia="仿宋"/>
          <w:sz w:val="32"/>
          <w:szCs w:val="32"/>
        </w:rPr>
      </w:pPr>
      <w:r>
        <w:rPr>
          <w:rFonts w:hint="eastAsia" w:ascii="仿宋" w:eastAsia="仿宋"/>
          <w:sz w:val="32"/>
          <w:szCs w:val="32"/>
        </w:rPr>
        <w:t>第三条  省级旅游度假区的认定和管理坚持公开、公平、公正，遵循自愿申报、规范认定、动态管理和示范引领的原则。</w:t>
      </w:r>
    </w:p>
    <w:p>
      <w:pPr>
        <w:ind w:firstLine="640" w:firstLineChars="200"/>
        <w:rPr>
          <w:rFonts w:ascii="仿宋" w:eastAsia="仿宋"/>
          <w:sz w:val="32"/>
          <w:szCs w:val="32"/>
        </w:rPr>
      </w:pPr>
      <w:r>
        <w:rPr>
          <w:rFonts w:hint="eastAsia" w:ascii="仿宋" w:eastAsia="仿宋"/>
          <w:sz w:val="32"/>
          <w:szCs w:val="32"/>
        </w:rPr>
        <w:t>第四条  省级旅游度假区的认定和管理由省文化和旅游厅按照本办法和国家标准《旅游度假区等级划分》（GB/T26358）及相关细则组织实施。市级文化和旅游行政部门负责本辖区内省级旅游度假区的初审推荐和日常管理。</w:t>
      </w:r>
    </w:p>
    <w:p>
      <w:pPr>
        <w:ind w:firstLine="640" w:firstLineChars="200"/>
        <w:rPr>
          <w:rFonts w:ascii="仿宋" w:eastAsia="仿宋"/>
          <w:sz w:val="32"/>
          <w:szCs w:val="32"/>
        </w:rPr>
      </w:pPr>
      <w:r>
        <w:rPr>
          <w:rFonts w:hint="eastAsia" w:ascii="仿宋" w:eastAsia="仿宋"/>
          <w:sz w:val="32"/>
          <w:szCs w:val="32"/>
        </w:rPr>
        <w:t>第五条  申报省级旅游度假区，应当具备下列条件：</w:t>
      </w:r>
    </w:p>
    <w:p>
      <w:pPr>
        <w:ind w:firstLine="640" w:firstLineChars="200"/>
        <w:rPr>
          <w:rFonts w:ascii="仿宋" w:eastAsia="仿宋"/>
          <w:sz w:val="32"/>
          <w:szCs w:val="32"/>
        </w:rPr>
      </w:pPr>
      <w:r>
        <w:rPr>
          <w:rFonts w:hint="eastAsia" w:ascii="仿宋" w:eastAsia="仿宋"/>
          <w:sz w:val="32"/>
          <w:szCs w:val="32"/>
        </w:rPr>
        <w:t>（一）符合国家标准《旅游度假区等级划分》（GB/T26358）及相关细则要求；</w:t>
      </w:r>
    </w:p>
    <w:p>
      <w:pPr>
        <w:ind w:firstLine="640" w:firstLineChars="200"/>
        <w:rPr>
          <w:rFonts w:ascii="仿宋" w:eastAsia="仿宋"/>
          <w:sz w:val="32"/>
          <w:szCs w:val="32"/>
        </w:rPr>
      </w:pPr>
      <w:r>
        <w:rPr>
          <w:rFonts w:hint="eastAsia" w:ascii="仿宋" w:eastAsia="仿宋"/>
          <w:sz w:val="32"/>
          <w:szCs w:val="32"/>
        </w:rPr>
        <w:t>（二）符合社会主义核心价值观要求；</w:t>
      </w:r>
    </w:p>
    <w:p>
      <w:pPr>
        <w:ind w:firstLine="640" w:firstLineChars="200"/>
        <w:rPr>
          <w:rFonts w:ascii="仿宋" w:eastAsia="仿宋"/>
          <w:sz w:val="32"/>
          <w:szCs w:val="32"/>
        </w:rPr>
      </w:pPr>
      <w:r>
        <w:rPr>
          <w:rFonts w:hint="eastAsia" w:ascii="仿宋" w:eastAsia="仿宋"/>
          <w:sz w:val="32"/>
          <w:szCs w:val="32"/>
        </w:rPr>
        <w:t>（三）度假设施相对集聚，经营状况良好，旅游公共信息服务体系健全；</w:t>
      </w:r>
    </w:p>
    <w:p>
      <w:pPr>
        <w:ind w:firstLine="640" w:firstLineChars="200"/>
        <w:rPr>
          <w:rFonts w:ascii="仿宋" w:eastAsia="仿宋"/>
          <w:sz w:val="32"/>
          <w:szCs w:val="32"/>
        </w:rPr>
      </w:pPr>
      <w:r>
        <w:rPr>
          <w:rFonts w:hint="eastAsia" w:ascii="仿宋" w:eastAsia="仿宋"/>
          <w:sz w:val="32"/>
          <w:szCs w:val="32"/>
        </w:rPr>
        <w:t>（四）游客综合满意度较高；</w:t>
      </w:r>
    </w:p>
    <w:p>
      <w:pPr>
        <w:ind w:firstLine="640" w:firstLineChars="200"/>
        <w:rPr>
          <w:rFonts w:ascii="仿宋" w:eastAsia="仿宋"/>
          <w:sz w:val="32"/>
          <w:szCs w:val="32"/>
        </w:rPr>
      </w:pPr>
      <w:r>
        <w:rPr>
          <w:rFonts w:hint="eastAsia" w:ascii="仿宋" w:eastAsia="仿宋"/>
          <w:sz w:val="32"/>
          <w:szCs w:val="32"/>
        </w:rPr>
        <w:t>（五）在全省具有较高的知名度和品牌影响力；</w:t>
      </w:r>
    </w:p>
    <w:p>
      <w:pPr>
        <w:ind w:firstLine="640" w:firstLineChars="200"/>
        <w:rPr>
          <w:rFonts w:ascii="仿宋" w:eastAsia="仿宋"/>
          <w:sz w:val="32"/>
          <w:szCs w:val="32"/>
        </w:rPr>
      </w:pPr>
      <w:r>
        <w:rPr>
          <w:rFonts w:hint="eastAsia" w:ascii="仿宋" w:eastAsia="仿宋"/>
          <w:sz w:val="32"/>
          <w:szCs w:val="32"/>
        </w:rPr>
        <w:t>（六）地域界限明确，符合国土空间规划；</w:t>
      </w:r>
    </w:p>
    <w:p>
      <w:pPr>
        <w:ind w:firstLine="640" w:firstLineChars="200"/>
        <w:rPr>
          <w:rFonts w:ascii="仿宋" w:eastAsia="仿宋"/>
          <w:sz w:val="32"/>
          <w:szCs w:val="32"/>
        </w:rPr>
      </w:pPr>
      <w:r>
        <w:rPr>
          <w:rFonts w:hint="eastAsia" w:ascii="仿宋" w:eastAsia="仿宋"/>
          <w:sz w:val="32"/>
          <w:szCs w:val="32"/>
        </w:rPr>
        <w:t>（七）主要经营主体近1年无严重违法违规等行为记录；</w:t>
      </w:r>
    </w:p>
    <w:p>
      <w:pPr>
        <w:ind w:firstLine="640" w:firstLineChars="200"/>
        <w:rPr>
          <w:rFonts w:ascii="仿宋" w:eastAsia="仿宋"/>
          <w:sz w:val="32"/>
          <w:szCs w:val="32"/>
        </w:rPr>
      </w:pPr>
      <w:r>
        <w:rPr>
          <w:rFonts w:hint="eastAsia" w:ascii="仿宋" w:eastAsia="仿宋"/>
          <w:sz w:val="32"/>
          <w:szCs w:val="32"/>
        </w:rPr>
        <w:t>（八）近1年未发生重大旅游安全责任事故；</w:t>
      </w:r>
    </w:p>
    <w:p>
      <w:pPr>
        <w:ind w:firstLine="640" w:firstLineChars="200"/>
        <w:rPr>
          <w:rFonts w:ascii="仿宋" w:eastAsia="仿宋"/>
          <w:sz w:val="32"/>
          <w:szCs w:val="32"/>
        </w:rPr>
      </w:pPr>
      <w:r>
        <w:rPr>
          <w:rFonts w:hint="eastAsia" w:ascii="仿宋" w:eastAsia="仿宋"/>
          <w:sz w:val="32"/>
          <w:szCs w:val="32"/>
        </w:rPr>
        <w:t xml:space="preserve"> （九）正式开业从事旅游度假经营业务1年以上，通过了运营前安全评估；</w:t>
      </w:r>
    </w:p>
    <w:p>
      <w:pPr>
        <w:ind w:firstLine="640" w:firstLineChars="200"/>
        <w:rPr>
          <w:rFonts w:ascii="仿宋" w:eastAsia="仿宋"/>
          <w:sz w:val="32"/>
          <w:szCs w:val="32"/>
        </w:rPr>
      </w:pPr>
      <w:r>
        <w:rPr>
          <w:rFonts w:hint="eastAsia" w:ascii="仿宋" w:eastAsia="仿宋"/>
          <w:sz w:val="32"/>
          <w:szCs w:val="32"/>
        </w:rPr>
        <w:t>第六条  申报省级旅游度假区，应当经市级文化和旅游行政部门向省文化和旅游厅提交下列材料：</w:t>
      </w:r>
    </w:p>
    <w:p>
      <w:pPr>
        <w:ind w:firstLine="640" w:firstLineChars="200"/>
        <w:rPr>
          <w:rFonts w:ascii="仿宋" w:eastAsia="仿宋"/>
          <w:sz w:val="32"/>
          <w:szCs w:val="32"/>
        </w:rPr>
      </w:pPr>
      <w:r>
        <w:rPr>
          <w:rFonts w:hint="eastAsia" w:ascii="仿宋" w:eastAsia="仿宋"/>
          <w:sz w:val="32"/>
          <w:szCs w:val="32"/>
        </w:rPr>
        <w:t>（一）市级文化和旅游行政部门推荐文件；</w:t>
      </w:r>
    </w:p>
    <w:p>
      <w:pPr>
        <w:ind w:firstLine="640" w:firstLineChars="200"/>
        <w:rPr>
          <w:rFonts w:ascii="仿宋" w:eastAsia="仿宋"/>
          <w:sz w:val="32"/>
          <w:szCs w:val="32"/>
        </w:rPr>
      </w:pPr>
      <w:r>
        <w:rPr>
          <w:rFonts w:hint="eastAsia" w:ascii="仿宋" w:eastAsia="仿宋"/>
          <w:sz w:val="32"/>
          <w:szCs w:val="32"/>
        </w:rPr>
        <w:t>（二）省级旅游度假区认定申请报告书，包括旅游度假区基本信息（含名称、管理机构、空间范围、面积、总览图等）、度假设施分布和经营状况、旅游公共信息服务体系、游客综合满意度、知名度和品牌影响力等内容；</w:t>
      </w:r>
    </w:p>
    <w:p>
      <w:pPr>
        <w:ind w:firstLine="640" w:firstLineChars="200"/>
        <w:rPr>
          <w:rFonts w:ascii="仿宋" w:eastAsia="仿宋"/>
          <w:sz w:val="32"/>
          <w:szCs w:val="32"/>
        </w:rPr>
      </w:pPr>
      <w:r>
        <w:rPr>
          <w:rFonts w:hint="eastAsia" w:ascii="仿宋" w:eastAsia="仿宋"/>
          <w:sz w:val="32"/>
          <w:szCs w:val="32"/>
        </w:rPr>
        <w:t>（三）旅游度假区总体规划、自评报告及相关说明材料（含文字、图片和视频）；</w:t>
      </w:r>
    </w:p>
    <w:p>
      <w:pPr>
        <w:ind w:firstLine="640" w:firstLineChars="200"/>
        <w:rPr>
          <w:rFonts w:ascii="仿宋" w:eastAsia="仿宋"/>
          <w:sz w:val="32"/>
          <w:szCs w:val="32"/>
        </w:rPr>
      </w:pPr>
      <w:r>
        <w:rPr>
          <w:rFonts w:hint="eastAsia" w:ascii="仿宋" w:eastAsia="仿宋"/>
          <w:sz w:val="32"/>
          <w:szCs w:val="32"/>
        </w:rPr>
        <w:t>（四）县级以上自然资源部门关于土地使用符合法律法规有关规定的相关材料；</w:t>
      </w:r>
    </w:p>
    <w:p>
      <w:pPr>
        <w:ind w:firstLine="640" w:firstLineChars="200"/>
        <w:rPr>
          <w:rFonts w:ascii="仿宋" w:eastAsia="仿宋"/>
          <w:sz w:val="32"/>
          <w:szCs w:val="32"/>
        </w:rPr>
      </w:pPr>
      <w:r>
        <w:rPr>
          <w:rFonts w:hint="eastAsia" w:ascii="仿宋" w:eastAsia="仿宋"/>
          <w:sz w:val="32"/>
          <w:szCs w:val="32"/>
        </w:rPr>
        <w:t>（五）近1年无严重违法违规等行为记录和未发生重大旅游安全责任事故的承诺书；</w:t>
      </w:r>
    </w:p>
    <w:p>
      <w:pPr>
        <w:ind w:firstLine="640" w:firstLineChars="200"/>
        <w:rPr>
          <w:rFonts w:ascii="仿宋" w:eastAsia="仿宋"/>
          <w:sz w:val="32"/>
          <w:szCs w:val="32"/>
        </w:rPr>
      </w:pPr>
      <w:r>
        <w:rPr>
          <w:rFonts w:hint="eastAsia" w:ascii="仿宋" w:eastAsia="仿宋"/>
          <w:sz w:val="32"/>
          <w:szCs w:val="32"/>
        </w:rPr>
        <w:t>（六）文化和旅游厅要求的其他材料。</w:t>
      </w:r>
    </w:p>
    <w:p>
      <w:pPr>
        <w:ind w:firstLine="640" w:firstLineChars="200"/>
        <w:rPr>
          <w:rFonts w:ascii="仿宋" w:eastAsia="仿宋"/>
          <w:sz w:val="32"/>
          <w:szCs w:val="32"/>
        </w:rPr>
      </w:pPr>
      <w:r>
        <w:rPr>
          <w:rFonts w:hint="eastAsia" w:ascii="仿宋" w:eastAsia="仿宋"/>
          <w:sz w:val="32"/>
          <w:szCs w:val="32"/>
        </w:rPr>
        <w:t>第七条  省文化和旅游厅按照下列程序组织认定省级旅游度假区：</w:t>
      </w:r>
    </w:p>
    <w:p>
      <w:pPr>
        <w:ind w:firstLine="640" w:firstLineChars="200"/>
        <w:rPr>
          <w:rFonts w:ascii="仿宋" w:eastAsia="仿宋"/>
          <w:sz w:val="32"/>
          <w:szCs w:val="32"/>
        </w:rPr>
      </w:pPr>
      <w:r>
        <w:rPr>
          <w:rFonts w:hint="eastAsia" w:ascii="仿宋" w:eastAsia="仿宋"/>
          <w:sz w:val="32"/>
          <w:szCs w:val="32"/>
        </w:rPr>
        <w:t>（一）对申报材料进行审核；</w:t>
      </w:r>
    </w:p>
    <w:p>
      <w:pPr>
        <w:ind w:firstLine="640" w:firstLineChars="200"/>
        <w:rPr>
          <w:rFonts w:ascii="仿宋" w:eastAsia="仿宋"/>
          <w:sz w:val="32"/>
          <w:szCs w:val="32"/>
        </w:rPr>
      </w:pPr>
      <w:r>
        <w:rPr>
          <w:rFonts w:hint="eastAsia" w:ascii="仿宋" w:eastAsia="仿宋"/>
          <w:sz w:val="32"/>
          <w:szCs w:val="32"/>
        </w:rPr>
        <w:t>（二）对通过资料审核的旅游度假区进行基础评价,对通过基础评价的，按照旅游度假区等级综合评分细则以明查和暗访相结合的形式进行现场检查。</w:t>
      </w:r>
    </w:p>
    <w:p>
      <w:pPr>
        <w:ind w:firstLine="640" w:firstLineChars="200"/>
        <w:rPr>
          <w:rFonts w:ascii="仿宋" w:eastAsia="仿宋"/>
          <w:sz w:val="32"/>
          <w:szCs w:val="32"/>
        </w:rPr>
      </w:pPr>
      <w:r>
        <w:rPr>
          <w:rFonts w:hint="eastAsia" w:ascii="仿宋" w:eastAsia="仿宋"/>
          <w:sz w:val="32"/>
          <w:szCs w:val="32"/>
        </w:rPr>
        <w:t>（三）对通过现场检查的旅游度假区进行审议，确定公示名单，公示期不少于5个工作日；</w:t>
      </w:r>
    </w:p>
    <w:p>
      <w:pPr>
        <w:ind w:firstLine="640" w:firstLineChars="200"/>
        <w:rPr>
          <w:rFonts w:ascii="仿宋" w:eastAsia="仿宋"/>
          <w:sz w:val="32"/>
          <w:szCs w:val="32"/>
        </w:rPr>
      </w:pPr>
      <w:r>
        <w:rPr>
          <w:rFonts w:hint="eastAsia" w:ascii="仿宋" w:eastAsia="仿宋"/>
          <w:sz w:val="32"/>
          <w:szCs w:val="32"/>
        </w:rPr>
        <w:t>（四）对公示无异议或者异议不成立的，发布认定公告。</w:t>
      </w:r>
    </w:p>
    <w:p>
      <w:pPr>
        <w:ind w:firstLine="640" w:firstLineChars="200"/>
        <w:rPr>
          <w:rFonts w:ascii="仿宋" w:eastAsia="仿宋"/>
          <w:sz w:val="32"/>
          <w:szCs w:val="32"/>
        </w:rPr>
      </w:pPr>
      <w:r>
        <w:rPr>
          <w:rFonts w:hint="eastAsia" w:ascii="仿宋" w:eastAsia="仿宋"/>
          <w:sz w:val="32"/>
          <w:szCs w:val="32"/>
        </w:rPr>
        <w:t>第八条  省级旅游度假区的标牌由省文化和旅游厅统一制作和颁发，省级旅游度假区应当将标牌置于度假区内醒目位置，并在宣传推广中正确使用标牌。</w:t>
      </w:r>
    </w:p>
    <w:p>
      <w:pPr>
        <w:ind w:firstLine="640" w:firstLineChars="200"/>
        <w:rPr>
          <w:rFonts w:ascii="仿宋" w:eastAsia="仿宋"/>
          <w:sz w:val="32"/>
          <w:szCs w:val="32"/>
        </w:rPr>
      </w:pPr>
      <w:r>
        <w:rPr>
          <w:rFonts w:hint="eastAsia" w:ascii="仿宋" w:eastAsia="仿宋"/>
          <w:sz w:val="32"/>
          <w:szCs w:val="32"/>
        </w:rPr>
        <w:t>未被认定或者被取消省级旅游度假区等级的，不得使用相关称谓和标牌。</w:t>
      </w:r>
    </w:p>
    <w:p>
      <w:pPr>
        <w:ind w:firstLine="640" w:firstLineChars="200"/>
        <w:rPr>
          <w:rFonts w:ascii="仿宋" w:eastAsia="仿宋"/>
          <w:sz w:val="32"/>
          <w:szCs w:val="32"/>
        </w:rPr>
      </w:pPr>
      <w:r>
        <w:rPr>
          <w:rFonts w:hint="eastAsia" w:ascii="仿宋" w:eastAsia="仿宋"/>
          <w:sz w:val="32"/>
          <w:szCs w:val="32"/>
        </w:rPr>
        <w:t>第九条  省级旅游度假区变更名称、管理机构或者调整空间边界的，应当自变更或者调整之日起2个月内，经市级文化和旅游行政部门报省文化和旅游厅备案。</w:t>
      </w:r>
    </w:p>
    <w:p>
      <w:pPr>
        <w:ind w:firstLine="640" w:firstLineChars="200"/>
        <w:rPr>
          <w:rFonts w:ascii="仿宋" w:eastAsia="仿宋"/>
          <w:sz w:val="32"/>
          <w:szCs w:val="32"/>
        </w:rPr>
      </w:pPr>
      <w:r>
        <w:rPr>
          <w:rFonts w:hint="eastAsia" w:ascii="仿宋" w:eastAsia="仿宋"/>
          <w:sz w:val="32"/>
          <w:szCs w:val="32"/>
        </w:rPr>
        <w:t>第十条  省文化和旅游厅采取重点复核与随机抽查相结合、明查与暗访相结合，或者委托第三方机构开展社会调查、游客意见反馈等方式，对省级旅游度假区进行管理和复核。原则上每3年进行1次评定性复核。</w:t>
      </w:r>
    </w:p>
    <w:p>
      <w:pPr>
        <w:ind w:firstLine="640" w:firstLineChars="200"/>
        <w:rPr>
          <w:rFonts w:ascii="仿宋" w:eastAsia="仿宋"/>
          <w:sz w:val="32"/>
          <w:szCs w:val="32"/>
        </w:rPr>
      </w:pPr>
      <w:r>
        <w:rPr>
          <w:rFonts w:hint="eastAsia" w:ascii="仿宋" w:eastAsia="仿宋"/>
          <w:sz w:val="32"/>
          <w:szCs w:val="32"/>
        </w:rPr>
        <w:t>第十一条  省级旅游度假区有下列情形之一的，文化和旅游厅给予通报批评处理，并要求限期整改：</w:t>
      </w:r>
    </w:p>
    <w:p>
      <w:pPr>
        <w:ind w:firstLine="640" w:firstLineChars="200"/>
        <w:rPr>
          <w:rFonts w:ascii="仿宋" w:eastAsia="仿宋"/>
          <w:sz w:val="32"/>
          <w:szCs w:val="32"/>
        </w:rPr>
      </w:pPr>
      <w:r>
        <w:rPr>
          <w:rFonts w:hint="eastAsia" w:ascii="仿宋" w:eastAsia="仿宋"/>
          <w:sz w:val="32"/>
          <w:szCs w:val="32"/>
        </w:rPr>
        <w:t>（一）经检查或者复核，部分达不到国家标准《旅游度假区等级划分》（GB/T26358）及相关细则要求的；</w:t>
      </w:r>
    </w:p>
    <w:p>
      <w:pPr>
        <w:ind w:firstLine="640" w:firstLineChars="200"/>
        <w:rPr>
          <w:rFonts w:ascii="仿宋" w:eastAsia="仿宋"/>
          <w:sz w:val="32"/>
          <w:szCs w:val="32"/>
        </w:rPr>
      </w:pPr>
      <w:r>
        <w:rPr>
          <w:rFonts w:hint="eastAsia" w:ascii="仿宋" w:eastAsia="仿宋"/>
          <w:sz w:val="32"/>
          <w:szCs w:val="32"/>
        </w:rPr>
        <w:t>（二）旅游公共信息服务体系不健全的；</w:t>
      </w:r>
    </w:p>
    <w:p>
      <w:pPr>
        <w:ind w:firstLine="640" w:firstLineChars="200"/>
        <w:rPr>
          <w:rFonts w:ascii="仿宋" w:eastAsia="仿宋"/>
          <w:sz w:val="32"/>
          <w:szCs w:val="32"/>
        </w:rPr>
      </w:pPr>
      <w:r>
        <w:rPr>
          <w:rFonts w:hint="eastAsia" w:ascii="仿宋" w:eastAsia="仿宋"/>
          <w:sz w:val="32"/>
          <w:szCs w:val="32"/>
        </w:rPr>
        <w:t>（三）游客投诉较多或者旅游市场秩序混乱，且未及时有效处理的；</w:t>
      </w:r>
    </w:p>
    <w:p>
      <w:pPr>
        <w:ind w:firstLine="640" w:firstLineChars="200"/>
        <w:rPr>
          <w:rFonts w:ascii="仿宋" w:eastAsia="仿宋"/>
          <w:sz w:val="32"/>
          <w:szCs w:val="32"/>
        </w:rPr>
      </w:pPr>
      <w:r>
        <w:rPr>
          <w:rFonts w:hint="eastAsia" w:ascii="仿宋" w:eastAsia="仿宋"/>
          <w:sz w:val="32"/>
          <w:szCs w:val="32"/>
        </w:rPr>
        <w:t>（四）因管理失当，造成严重不良社会影响的；</w:t>
      </w:r>
    </w:p>
    <w:p>
      <w:pPr>
        <w:ind w:firstLine="640" w:firstLineChars="200"/>
        <w:rPr>
          <w:rFonts w:ascii="仿宋" w:eastAsia="仿宋"/>
          <w:sz w:val="32"/>
          <w:szCs w:val="32"/>
        </w:rPr>
      </w:pPr>
      <w:r>
        <w:rPr>
          <w:rFonts w:hint="eastAsia" w:ascii="仿宋" w:eastAsia="仿宋"/>
          <w:sz w:val="32"/>
          <w:szCs w:val="32"/>
        </w:rPr>
        <w:t>（五）发生较大旅游安全责任事故的；</w:t>
      </w:r>
    </w:p>
    <w:p>
      <w:pPr>
        <w:ind w:firstLine="640" w:firstLineChars="200"/>
        <w:rPr>
          <w:rFonts w:ascii="仿宋" w:eastAsia="仿宋"/>
          <w:sz w:val="32"/>
          <w:szCs w:val="32"/>
        </w:rPr>
      </w:pPr>
      <w:r>
        <w:rPr>
          <w:rFonts w:hint="eastAsia" w:ascii="仿宋" w:eastAsia="仿宋"/>
          <w:sz w:val="32"/>
          <w:szCs w:val="32"/>
        </w:rPr>
        <w:t>（六）变更名称、管理机构或者调整空间边界未及时备案的；</w:t>
      </w:r>
    </w:p>
    <w:p>
      <w:pPr>
        <w:ind w:firstLine="640" w:firstLineChars="200"/>
        <w:rPr>
          <w:rFonts w:ascii="仿宋" w:eastAsia="仿宋"/>
          <w:sz w:val="32"/>
          <w:szCs w:val="32"/>
        </w:rPr>
      </w:pPr>
      <w:r>
        <w:rPr>
          <w:rFonts w:hint="eastAsia" w:ascii="仿宋" w:eastAsia="仿宋"/>
          <w:sz w:val="32"/>
          <w:szCs w:val="32"/>
        </w:rPr>
        <w:t>（七）文化和旅游厅认定的其他情形。</w:t>
      </w:r>
    </w:p>
    <w:p>
      <w:pPr>
        <w:ind w:firstLine="640" w:firstLineChars="200"/>
        <w:rPr>
          <w:rFonts w:ascii="仿宋" w:eastAsia="仿宋"/>
          <w:sz w:val="32"/>
          <w:szCs w:val="32"/>
        </w:rPr>
      </w:pPr>
      <w:r>
        <w:rPr>
          <w:rFonts w:hint="eastAsia" w:ascii="仿宋" w:eastAsia="仿宋"/>
          <w:sz w:val="32"/>
          <w:szCs w:val="32"/>
        </w:rPr>
        <w:t>第十二条  省级旅游度假区有下列情形之一的，文化和旅游厅给予取消等级处理：</w:t>
      </w:r>
    </w:p>
    <w:p>
      <w:pPr>
        <w:ind w:firstLine="640" w:firstLineChars="200"/>
        <w:rPr>
          <w:rFonts w:ascii="仿宋" w:eastAsia="仿宋"/>
          <w:sz w:val="32"/>
          <w:szCs w:val="32"/>
        </w:rPr>
      </w:pPr>
      <w:r>
        <w:rPr>
          <w:rFonts w:hint="eastAsia" w:ascii="仿宋" w:eastAsia="仿宋"/>
          <w:sz w:val="32"/>
          <w:szCs w:val="32"/>
        </w:rPr>
        <w:t>（一）经检查或者复核，与国家标准《旅游度假区等级划分》（GB/T26358）及相关细则要求差距较大的；</w:t>
      </w:r>
    </w:p>
    <w:p>
      <w:pPr>
        <w:ind w:firstLine="640" w:firstLineChars="200"/>
        <w:rPr>
          <w:rFonts w:ascii="仿宋" w:eastAsia="仿宋"/>
          <w:sz w:val="32"/>
          <w:szCs w:val="32"/>
        </w:rPr>
      </w:pPr>
      <w:r>
        <w:rPr>
          <w:rFonts w:hint="eastAsia" w:ascii="仿宋" w:eastAsia="仿宋"/>
          <w:sz w:val="32"/>
          <w:szCs w:val="32"/>
        </w:rPr>
        <w:t>（二）存在严重违背社会主义核心价值观行为的；</w:t>
      </w:r>
    </w:p>
    <w:p>
      <w:pPr>
        <w:ind w:firstLine="640" w:firstLineChars="200"/>
        <w:rPr>
          <w:rFonts w:ascii="仿宋" w:eastAsia="仿宋"/>
          <w:sz w:val="32"/>
          <w:szCs w:val="32"/>
        </w:rPr>
      </w:pPr>
      <w:r>
        <w:rPr>
          <w:rFonts w:hint="eastAsia" w:ascii="仿宋" w:eastAsia="仿宋"/>
          <w:sz w:val="32"/>
          <w:szCs w:val="32"/>
        </w:rPr>
        <w:t>（三）资源环境遭到严重破坏的；</w:t>
      </w:r>
    </w:p>
    <w:p>
      <w:pPr>
        <w:ind w:firstLine="640" w:firstLineChars="200"/>
        <w:rPr>
          <w:rFonts w:ascii="仿宋" w:eastAsia="仿宋"/>
          <w:sz w:val="32"/>
          <w:szCs w:val="32"/>
        </w:rPr>
      </w:pPr>
      <w:r>
        <w:rPr>
          <w:rFonts w:hint="eastAsia" w:ascii="仿宋" w:eastAsia="仿宋"/>
          <w:sz w:val="32"/>
          <w:szCs w:val="32"/>
        </w:rPr>
        <w:t>（四）发生重大旅游安全责任事故的；</w:t>
      </w:r>
    </w:p>
    <w:p>
      <w:pPr>
        <w:ind w:firstLine="640" w:firstLineChars="200"/>
        <w:rPr>
          <w:rFonts w:ascii="仿宋" w:eastAsia="仿宋"/>
          <w:sz w:val="32"/>
          <w:szCs w:val="32"/>
        </w:rPr>
      </w:pPr>
      <w:r>
        <w:rPr>
          <w:rFonts w:hint="eastAsia" w:ascii="仿宋" w:eastAsia="仿宋"/>
          <w:sz w:val="32"/>
          <w:szCs w:val="32"/>
        </w:rPr>
        <w:t>（五）发生重大违法违规行为的；</w:t>
      </w:r>
    </w:p>
    <w:p>
      <w:pPr>
        <w:ind w:firstLine="640" w:firstLineChars="200"/>
        <w:rPr>
          <w:rFonts w:ascii="仿宋" w:eastAsia="仿宋"/>
          <w:sz w:val="32"/>
          <w:szCs w:val="32"/>
        </w:rPr>
      </w:pPr>
      <w:r>
        <w:rPr>
          <w:rFonts w:hint="eastAsia" w:ascii="仿宋" w:eastAsia="仿宋"/>
          <w:sz w:val="32"/>
          <w:szCs w:val="32"/>
        </w:rPr>
        <w:t>（六）申报过程中弄虚作假的；</w:t>
      </w:r>
    </w:p>
    <w:p>
      <w:pPr>
        <w:ind w:firstLine="640" w:firstLineChars="200"/>
        <w:rPr>
          <w:rFonts w:ascii="仿宋" w:eastAsia="仿宋"/>
          <w:sz w:val="32"/>
          <w:szCs w:val="32"/>
        </w:rPr>
      </w:pPr>
      <w:r>
        <w:rPr>
          <w:rFonts w:hint="eastAsia" w:ascii="仿宋" w:eastAsia="仿宋"/>
          <w:sz w:val="32"/>
          <w:szCs w:val="32"/>
        </w:rPr>
        <w:t>（七）省文化和旅游厅认定的其他情形。</w:t>
      </w:r>
    </w:p>
    <w:p>
      <w:pPr>
        <w:ind w:firstLine="640" w:firstLineChars="200"/>
        <w:rPr>
          <w:rFonts w:ascii="仿宋" w:eastAsia="仿宋"/>
          <w:sz w:val="32"/>
          <w:szCs w:val="32"/>
        </w:rPr>
      </w:pPr>
      <w:r>
        <w:rPr>
          <w:rFonts w:hint="eastAsia" w:ascii="仿宋" w:eastAsia="仿宋"/>
          <w:sz w:val="32"/>
          <w:szCs w:val="32"/>
        </w:rPr>
        <w:t>第十三条  省级旅游度假区受到通报批评处理的，应当及时认真进行整改，整改期限原则上不超过1年。整改期限届满后，经市级文化和旅游行政部门报文化和旅游厅检查验收。通过检查验收的，下达整改合格通知；未通过检查验收的，文化和旅游厅给予取消等级处理。</w:t>
      </w:r>
    </w:p>
    <w:p>
      <w:pPr>
        <w:ind w:firstLine="640" w:firstLineChars="200"/>
        <w:rPr>
          <w:rFonts w:ascii="仿宋" w:eastAsia="仿宋"/>
          <w:sz w:val="32"/>
          <w:szCs w:val="32"/>
        </w:rPr>
      </w:pPr>
      <w:r>
        <w:rPr>
          <w:rFonts w:hint="eastAsia" w:ascii="仿宋" w:eastAsia="仿宋"/>
          <w:sz w:val="32"/>
          <w:szCs w:val="32"/>
        </w:rPr>
        <w:t>第十四条  省级旅游度假区受到取消等级处理的，自取消等级之日起2年内不得申报省级旅游度假区。</w:t>
      </w:r>
    </w:p>
    <w:p>
      <w:pPr>
        <w:ind w:firstLine="640" w:firstLineChars="200"/>
        <w:rPr>
          <w:rFonts w:hint="eastAsia" w:ascii="仿宋" w:eastAsia="仿宋"/>
          <w:sz w:val="32"/>
          <w:szCs w:val="32"/>
        </w:rPr>
      </w:pPr>
      <w:r>
        <w:rPr>
          <w:rFonts w:hint="eastAsia" w:ascii="仿宋" w:eastAsia="仿宋"/>
          <w:color w:val="000000"/>
          <w:sz w:val="32"/>
          <w:szCs w:val="32"/>
        </w:rPr>
        <w:t>第十五条</w:t>
      </w:r>
      <w:r>
        <w:rPr>
          <w:rFonts w:hint="eastAsia" w:eastAsia="仿宋"/>
          <w:color w:val="FF0000"/>
          <w:sz w:val="32"/>
          <w:szCs w:val="32"/>
        </w:rPr>
        <w:t xml:space="preserve">  </w:t>
      </w:r>
      <w:r>
        <w:rPr>
          <w:rFonts w:hint="eastAsia" w:ascii="仿宋" w:eastAsia="仿宋"/>
          <w:sz w:val="32"/>
          <w:szCs w:val="32"/>
        </w:rPr>
        <w:t>本办法自</w:t>
      </w:r>
      <w:r>
        <w:rPr>
          <w:rFonts w:ascii="仿宋" w:eastAsia="仿宋"/>
          <w:sz w:val="32"/>
          <w:szCs w:val="32"/>
        </w:rPr>
        <w:t>2021年7月12日</w:t>
      </w:r>
      <w:r>
        <w:rPr>
          <w:rFonts w:hint="eastAsia" w:ascii="仿宋" w:eastAsia="仿宋"/>
          <w:sz w:val="32"/>
          <w:szCs w:val="32"/>
        </w:rPr>
        <w:t>起施行</w:t>
      </w:r>
      <w:r>
        <w:rPr>
          <w:rFonts w:ascii="仿宋" w:eastAsia="仿宋"/>
          <w:sz w:val="32"/>
          <w:szCs w:val="32"/>
        </w:rPr>
        <w:t>,有效期5年</w:t>
      </w:r>
      <w:r>
        <w:rPr>
          <w:rFonts w:hint="eastAsia" w:ascii="仿宋" w:eastAsia="仿宋"/>
          <w:sz w:val="32"/>
          <w:szCs w:val="32"/>
        </w:rPr>
        <w:t>。</w:t>
      </w:r>
    </w:p>
    <w:p>
      <w:pPr>
        <w:rPr>
          <w:rFonts w:hint="eastAsia" w:ascii="仿宋" w:eastAsia="仿宋"/>
          <w:sz w:val="32"/>
          <w:szCs w:val="32"/>
        </w:rPr>
      </w:pPr>
      <w:r>
        <w:rPr>
          <w:rFonts w:hint="eastAsia" w:ascii="仿宋" w:eastAsia="仿宋"/>
          <w:sz w:val="32"/>
          <w:szCs w:val="32"/>
        </w:rPr>
        <w:br w:type="textWrapping"/>
      </w:r>
    </w:p>
    <w:p>
      <w:pPr>
        <w:rPr>
          <w:rFonts w:hint="eastAsia" w:ascii="仿宋" w:eastAsia="仿宋"/>
          <w:sz w:val="32"/>
          <w:szCs w:val="32"/>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rFonts w:hint="eastAsia"/>
          <w:sz w:val="18"/>
          <w:szCs w:val="18"/>
        </w:rPr>
      </w:pPr>
    </w:p>
    <w:p>
      <w:pPr>
        <w:snapToGrid w:val="0"/>
        <w:spacing w:line="300" w:lineRule="auto"/>
        <w:rPr>
          <w:sz w:val="18"/>
          <w:szCs w:val="18"/>
        </w:rPr>
      </w:pPr>
    </w:p>
    <w:tbl>
      <w:tblPr>
        <w:tblStyle w:val="6"/>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6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9060" w:type="dxa"/>
            <w:vAlign w:val="center"/>
          </w:tcPr>
          <w:p>
            <w:pPr>
              <w:snapToGrid w:val="0"/>
              <w:ind w:right="-119"/>
              <w:rPr>
                <w:rFonts w:ascii="仿宋_GB2312" w:hAnsi="仿宋" w:eastAsia="仿宋_GB2312" w:cs="仿宋"/>
                <w:sz w:val="28"/>
                <w:szCs w:val="28"/>
              </w:rPr>
            </w:pPr>
            <w:r>
              <w:rPr>
                <w:rFonts w:hint="eastAsia" w:ascii="仿宋_GB2312" w:hAnsi="仿宋" w:eastAsia="仿宋_GB2312" w:cs="仿宋"/>
                <w:sz w:val="28"/>
                <w:szCs w:val="28"/>
              </w:rPr>
              <w:t>湖南省文化和旅游厅办公室                     2021年7月12日印发</w:t>
            </w:r>
          </w:p>
        </w:tc>
      </w:tr>
    </w:tbl>
    <w:p>
      <w:pPr>
        <w:rPr>
          <w:rFonts w:hint="eastAsia" w:ascii="仿宋_GB2312" w:eastAsia="仿宋_GB2312"/>
          <w:sz w:val="10"/>
          <w:szCs w:val="10"/>
        </w:rPr>
      </w:pPr>
    </w:p>
    <w:sectPr>
      <w:footerReference r:id="rId3" w:type="default"/>
      <w:pgSz w:w="11906" w:h="16838"/>
      <w:pgMar w:top="2098" w:right="1531" w:bottom="1531" w:left="1531"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25967"/>
      <w:docPartObj>
        <w:docPartGallery w:val="autotext"/>
      </w:docPartObj>
    </w:sdtPr>
    <w:sdtEndPr>
      <w:rPr>
        <w:rFonts w:asciiTheme="minorEastAsia" w:hAnsiTheme="minorEastAsia" w:eastAsiaTheme="minorEastAsia"/>
        <w:sz w:val="30"/>
        <w:szCs w:val="30"/>
      </w:rPr>
    </w:sdtEndPr>
    <w:sdtContent>
      <w:p>
        <w:pPr>
          <w:pStyle w:val="2"/>
          <w:jc w:val="center"/>
          <w:rPr>
            <w:rFonts w:asciiTheme="minorEastAsia" w:hAnsiTheme="minorEastAsia" w:eastAsiaTheme="minorEastAsia"/>
            <w:sz w:val="30"/>
            <w:szCs w:val="30"/>
          </w:rPr>
        </w:pPr>
        <w:r>
          <w:rPr>
            <w:rFonts w:asciiTheme="minorEastAsia" w:hAnsiTheme="minorEastAsia" w:eastAsiaTheme="minorEastAsia"/>
            <w:sz w:val="30"/>
            <w:szCs w:val="30"/>
          </w:rPr>
          <w:fldChar w:fldCharType="begin"/>
        </w:r>
        <w:r>
          <w:rPr>
            <w:rFonts w:asciiTheme="minorEastAsia" w:hAnsiTheme="minorEastAsia" w:eastAsiaTheme="minorEastAsia"/>
            <w:sz w:val="30"/>
            <w:szCs w:val="30"/>
          </w:rPr>
          <w:instrText xml:space="preserve"> PAGE   \* MERGEFORMAT </w:instrText>
        </w:r>
        <w:r>
          <w:rPr>
            <w:rFonts w:asciiTheme="minorEastAsia" w:hAnsiTheme="minorEastAsia" w:eastAsiaTheme="minorEastAsia"/>
            <w:sz w:val="30"/>
            <w:szCs w:val="30"/>
          </w:rPr>
          <w:fldChar w:fldCharType="separate"/>
        </w:r>
        <w:r>
          <w:rPr>
            <w:rFonts w:asciiTheme="minorEastAsia" w:hAnsiTheme="minorEastAsia" w:eastAsiaTheme="minorEastAsia"/>
            <w:sz w:val="30"/>
            <w:szCs w:val="30"/>
            <w:lang w:val="zh-CN"/>
          </w:rPr>
          <w:t>-</w:t>
        </w:r>
        <w:r>
          <w:rPr>
            <w:rFonts w:asciiTheme="minorEastAsia" w:hAnsiTheme="minorEastAsia" w:eastAsiaTheme="minorEastAsia"/>
            <w:sz w:val="30"/>
            <w:szCs w:val="30"/>
          </w:rPr>
          <w:t xml:space="preserve"> 2 -</w:t>
        </w:r>
        <w:r>
          <w:rPr>
            <w:rFonts w:asciiTheme="minorEastAsia" w:hAnsiTheme="minorEastAsia" w:eastAsiaTheme="minorEastAsia"/>
            <w:sz w:val="30"/>
            <w:szCs w:val="30"/>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6B5"/>
    <w:rsid w:val="000106B5"/>
    <w:rsid w:val="002B174D"/>
    <w:rsid w:val="00690E56"/>
    <w:rsid w:val="007D6A84"/>
    <w:rsid w:val="00FB74BC"/>
    <w:rsid w:val="211B55B0"/>
    <w:rsid w:val="72F56D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Arial"/>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uiPriority w:val="0"/>
    <w:pPr>
      <w:widowControl w:val="0"/>
      <w:spacing w:before="100" w:beforeAutospacing="1" w:after="100" w:afterAutospacing="1"/>
    </w:pPr>
    <w:rPr>
      <w:rFonts w:ascii="Courier New" w:hAnsi="Courier New" w:eastAsia="宋体" w:cs="Times New Roman"/>
      <w:kern w:val="2"/>
      <w:szCs w:val="21"/>
      <w:lang w:val="en-US" w:eastAsia="zh-CN" w:bidi="ar-SA"/>
    </w:rPr>
  </w:style>
  <w:style w:type="paragraph" w:styleId="5">
    <w:name w:val="Normal (Web)"/>
    <w:basedOn w:val="1"/>
    <w:uiPriority w:val="0"/>
    <w:pPr>
      <w:widowControl/>
      <w:spacing w:before="100" w:beforeAutospacing="1" w:after="100" w:afterAutospacing="1"/>
      <w:jc w:val="left"/>
    </w:pPr>
    <w:rPr>
      <w:rFonts w:ascii="宋体" w:cs="宋体"/>
      <w:kern w:val="0"/>
      <w:sz w:val="24"/>
      <w:szCs w:val="24"/>
    </w:rPr>
  </w:style>
  <w:style w:type="character" w:customStyle="1" w:styleId="8">
    <w:name w:val="页脚 Char"/>
    <w:basedOn w:val="7"/>
    <w:link w:val="2"/>
    <w:uiPriority w:val="99"/>
    <w:rPr>
      <w:rFonts w:ascii="Calibri" w:hAnsi="Calibri" w:cs="Arial"/>
      <w:kern w:val="2"/>
      <w:sz w:val="18"/>
      <w:szCs w:val="18"/>
    </w:rPr>
  </w:style>
  <w:style w:type="paragraph" w:styleId="9">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347</Words>
  <Characters>1978</Characters>
  <Lines>16</Lines>
  <Paragraphs>4</Paragraphs>
  <TotalTime>2</TotalTime>
  <ScaleCrop>false</ScaleCrop>
  <LinksUpToDate>false</LinksUpToDate>
  <CharactersWithSpaces>2321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2021-07-12T08:36:00Z</dcterms:created>
  <dc:creator>lenovo</dc:creator>
  <cp:lastModifiedBy>天空1366944131</cp:lastModifiedBy>
  <cp:lastPrinted>2021-07-12T08:31:00Z</cp:lastPrinted>
  <dcterms:modified xsi:type="dcterms:W3CDTF">2021-07-14T01:06:52Z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