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val="0"/>
        <w:snapToGrid w:val="0"/>
        <w:spacing w:before="292" w:beforeLines="50"/>
        <w:ind w:left="0" w:leftChars="0" w:firstLine="0" w:firstLineChars="0"/>
        <w:textAlignment w:val="auto"/>
      </w:pPr>
      <w:bookmarkStart w:id="1" w:name="_GoBack"/>
      <w:bookmarkEnd w:id="1"/>
      <w:bookmarkStart w:id="0" w:name="OLE_LINK1"/>
      <w:r>
        <w:rPr>
          <w:rFonts w:hint="eastAsia"/>
        </w:rPr>
        <w:t>HNPR-2024-17020</w:t>
      </w:r>
    </w:p>
    <w:p>
      <w:pPr>
        <w:spacing w:after="120" w:line="760" w:lineRule="exact"/>
        <w:ind w:firstLine="640"/>
        <w:rPr>
          <w:color w:val="000000"/>
        </w:rPr>
      </w:pPr>
    </w:p>
    <w:p>
      <w:pPr>
        <w:spacing w:after="120" w:line="760" w:lineRule="exact"/>
        <w:ind w:firstLine="640"/>
        <w:rPr>
          <w:color w:val="000000"/>
        </w:rPr>
      </w:pPr>
    </w:p>
    <w:p>
      <w:pPr>
        <w:spacing w:after="120" w:line="760" w:lineRule="exact"/>
        <w:ind w:left="0" w:leftChars="0" w:firstLine="0" w:firstLineChars="0"/>
        <w:rPr>
          <w:color w:val="000000"/>
        </w:rPr>
      </w:pPr>
    </w:p>
    <w:p>
      <w:pPr>
        <w:ind w:left="0" w:leftChars="0" w:firstLine="0" w:firstLineChars="0"/>
        <w:jc w:val="center"/>
      </w:pPr>
      <w:r>
        <w:rPr>
          <w:color w:val="000000"/>
          <w:sz w:val="32"/>
          <w:szCs w:val="32"/>
        </w:rPr>
        <w:t>湘农发〔2024〕89号</w:t>
      </w:r>
    </w:p>
    <w:p>
      <w:pPr>
        <w:ind w:firstLine="640"/>
      </w:pPr>
    </w:p>
    <w:p>
      <w:pPr>
        <w:ind w:firstLine="640"/>
      </w:pPr>
    </w:p>
    <w:p>
      <w:pPr>
        <w:pStyle w:val="2"/>
        <w:rPr>
          <w:color w:val="000000"/>
          <w:spacing w:val="20"/>
        </w:rPr>
      </w:pPr>
      <w:r>
        <w:rPr>
          <w:color w:val="000000"/>
          <w:spacing w:val="20"/>
        </w:rPr>
        <w:t>湖南省农业农村厅</w:t>
      </w:r>
    </w:p>
    <w:bookmarkEnd w:id="0"/>
    <w:p>
      <w:pPr>
        <w:pStyle w:val="2"/>
      </w:pPr>
      <w:r>
        <w:t>关于印发《湖南省现代农业产业技术体系</w:t>
      </w:r>
      <w:r>
        <w:br w:type="textWrapping"/>
      </w:r>
      <w:r>
        <w:t>管理办法》的通知</w:t>
      </w:r>
    </w:p>
    <w:p>
      <w:pPr>
        <w:ind w:firstLine="640"/>
      </w:pPr>
    </w:p>
    <w:p>
      <w:pPr>
        <w:ind w:firstLine="0" w:firstLineChars="0"/>
      </w:pPr>
      <w:r>
        <w:t>各产业技术体系，有关单位：</w:t>
      </w:r>
    </w:p>
    <w:p>
      <w:pPr>
        <w:ind w:firstLine="640"/>
      </w:pPr>
      <w:r>
        <w:t>现将《湖南省现代农业产业技术体系管理办法》印发给你们，请遵照执行。</w:t>
      </w:r>
    </w:p>
    <w:p>
      <w:pPr>
        <w:ind w:firstLine="640"/>
      </w:pPr>
      <w:r>
        <w:t xml:space="preserve"> </w:t>
      </w:r>
    </w:p>
    <w:p>
      <w:pPr>
        <w:ind w:firstLine="640"/>
      </w:pPr>
    </w:p>
    <w:p>
      <w:pPr>
        <w:ind w:right="640" w:rightChars="200" w:firstLine="0" w:firstLineChars="0"/>
        <w:rPr>
          <w:spacing w:val="20"/>
          <w:szCs w:val="32"/>
        </w:rPr>
      </w:pPr>
      <w:r>
        <w:rPr>
          <w:spacing w:val="20"/>
        </w:rPr>
        <w:t xml:space="preserve">                        </w:t>
      </w:r>
      <w:r>
        <w:rPr>
          <w:spacing w:val="20"/>
          <w:szCs w:val="32"/>
        </w:rPr>
        <w:t xml:space="preserve">  湖南省农业农村厅</w:t>
      </w:r>
    </w:p>
    <w:p>
      <w:pPr>
        <w:ind w:firstLine="601" w:firstLineChars="188"/>
      </w:pPr>
      <w:r>
        <w:t xml:space="preserve">                             </w:t>
      </w:r>
      <w:r>
        <w:rPr>
          <w:rFonts w:hint="eastAsia"/>
          <w:lang w:val="en-US" w:eastAsia="zh-CN"/>
        </w:rPr>
        <w:t xml:space="preserve"> </w:t>
      </w:r>
      <w:r>
        <w:t>202</w:t>
      </w:r>
      <w:r>
        <w:rPr>
          <w:rFonts w:hint="eastAsia"/>
          <w:lang w:val="en-US" w:eastAsia="zh-CN"/>
        </w:rPr>
        <w:t>4</w:t>
      </w:r>
      <w:r>
        <w:t>年</w:t>
      </w:r>
      <w:r>
        <w:rPr>
          <w:rFonts w:hint="eastAsia"/>
          <w:lang w:val="en-US" w:eastAsia="zh-CN"/>
        </w:rPr>
        <w:t>12</w:t>
      </w:r>
      <w:r>
        <w:t>月</w:t>
      </w:r>
      <w:r>
        <w:rPr>
          <w:rFonts w:hint="eastAsia"/>
          <w:lang w:val="en-US" w:eastAsia="zh-CN"/>
        </w:rPr>
        <w:t>27</w:t>
      </w:r>
      <w:r>
        <w:t>日</w:t>
      </w:r>
    </w:p>
    <w:p>
      <w:pPr>
        <w:ind w:firstLine="640"/>
      </w:pPr>
    </w:p>
    <w:p>
      <w:pPr>
        <w:pStyle w:val="2"/>
      </w:pPr>
      <w:r>
        <w:t>湖南省现代农业产业技术体系管理办法</w:t>
      </w:r>
    </w:p>
    <w:p>
      <w:pPr>
        <w:ind w:firstLine="640"/>
        <w:rPr>
          <w:color w:val="000000"/>
        </w:rPr>
      </w:pPr>
    </w:p>
    <w:p>
      <w:pPr>
        <w:ind w:firstLine="0" w:firstLineChars="0"/>
        <w:jc w:val="center"/>
        <w:outlineLvl w:val="1"/>
        <w:rPr>
          <w:rFonts w:eastAsia="黑体"/>
          <w:bCs/>
          <w:color w:val="000000"/>
          <w:szCs w:val="32"/>
        </w:rPr>
      </w:pPr>
      <w:r>
        <w:rPr>
          <w:rFonts w:eastAsia="黑体"/>
          <w:bCs/>
          <w:color w:val="000000"/>
          <w:szCs w:val="32"/>
        </w:rPr>
        <w:t>第一章  总　则</w:t>
      </w:r>
    </w:p>
    <w:p>
      <w:pPr>
        <w:ind w:firstLine="643"/>
        <w:rPr>
          <w:color w:val="000000"/>
        </w:rPr>
      </w:pPr>
      <w:r>
        <w:rPr>
          <w:b/>
          <w:bCs/>
          <w:color w:val="000000"/>
        </w:rPr>
        <w:t>第一条</w:t>
      </w:r>
      <w:r>
        <w:rPr>
          <w:color w:val="000000"/>
        </w:rPr>
        <w:t xml:space="preserve">  为贯彻落实党中央、国务院加快科技创新、实现高水平科技自立自强以及建设农业强省战略要求，规范我省现代农业产业技术体系（以下简称“体系”）建设、运行和管理，根据《农业农村部 财政部关于印发&lt;现代农业产业技术体系建设专项管理办法&gt;的通知》（农科教发〔2022〕3号）及我省财政经费管理规定，结合体系工作实际，制定本办法。</w:t>
      </w:r>
    </w:p>
    <w:p>
      <w:pPr>
        <w:ind w:firstLine="643"/>
        <w:rPr>
          <w:color w:val="000000"/>
        </w:rPr>
      </w:pPr>
      <w:r>
        <w:rPr>
          <w:b/>
          <w:bCs/>
          <w:color w:val="000000"/>
        </w:rPr>
        <w:t>第二条</w:t>
      </w:r>
      <w:r>
        <w:rPr>
          <w:color w:val="000000"/>
        </w:rPr>
        <w:t xml:space="preserve">  本办法所称湖南省现代农业产业技术体系，由省农业农村厅建设，是我省农业产业科技战略力量。体系聚焦我省农业农村现代化发展要求，特别是国家体系未覆盖的本地大宗特色农产品品种，以农产品为单元，以产业为主线，按照全产业链配置科技力量，建立新型农业科研组织模式，及时发现和解决生产中的技术难题，促进我省农业产业现代化。</w:t>
      </w:r>
    </w:p>
    <w:p>
      <w:pPr>
        <w:ind w:firstLine="643"/>
        <w:rPr>
          <w:color w:val="000000"/>
        </w:rPr>
      </w:pPr>
      <w:r>
        <w:rPr>
          <w:b/>
          <w:bCs/>
          <w:color w:val="000000"/>
        </w:rPr>
        <w:t>第三条</w:t>
      </w:r>
      <w:r>
        <w:rPr>
          <w:color w:val="000000"/>
        </w:rPr>
        <w:t xml:space="preserve">  体系建设专项资金（以下简称“专项资金”）由省级财政负担，单独核算，专款专用。</w:t>
      </w:r>
    </w:p>
    <w:p>
      <w:pPr>
        <w:ind w:firstLine="640"/>
        <w:rPr>
          <w:color w:val="000000"/>
        </w:rPr>
      </w:pPr>
    </w:p>
    <w:p>
      <w:pPr>
        <w:ind w:firstLine="0" w:firstLineChars="0"/>
        <w:jc w:val="center"/>
        <w:outlineLvl w:val="1"/>
        <w:rPr>
          <w:rFonts w:eastAsia="黑体"/>
          <w:bCs/>
          <w:color w:val="000000"/>
          <w:szCs w:val="32"/>
        </w:rPr>
      </w:pPr>
      <w:r>
        <w:rPr>
          <w:rFonts w:eastAsia="黑体"/>
          <w:bCs/>
          <w:color w:val="000000"/>
          <w:szCs w:val="32"/>
        </w:rPr>
        <w:t>第二章  组织架构</w:t>
      </w:r>
    </w:p>
    <w:p>
      <w:pPr>
        <w:ind w:firstLine="643"/>
        <w:rPr>
          <w:color w:val="000000"/>
        </w:rPr>
      </w:pPr>
      <w:r>
        <w:rPr>
          <w:b/>
          <w:bCs/>
          <w:color w:val="000000"/>
        </w:rPr>
        <w:t>第四条</w:t>
      </w:r>
      <w:r>
        <w:rPr>
          <w:color w:val="000000"/>
        </w:rPr>
        <w:t xml:space="preserve">  根据我省现代农业发展需求，布局建设若干重要农产品体系，每个体系设1个首席专家岗位、若干岗位专家岗位、若干试验站。首席专家、岗位专家、试验站站长统称为体系专家。</w:t>
      </w:r>
    </w:p>
    <w:p>
      <w:pPr>
        <w:ind w:firstLine="643"/>
        <w:rPr>
          <w:color w:val="000000"/>
        </w:rPr>
      </w:pPr>
      <w:r>
        <w:rPr>
          <w:b/>
          <w:bCs/>
          <w:color w:val="000000"/>
        </w:rPr>
        <w:t>第五条</w:t>
      </w:r>
      <w:r>
        <w:rPr>
          <w:color w:val="000000"/>
        </w:rPr>
        <w:t xml:space="preserve">  首席专家、岗位专家和试验站站长所在单位分别为体系的首席专家岗位、岗位专家岗位和试验站建设依托单位（以下简称“依托单位”）。</w:t>
      </w:r>
    </w:p>
    <w:p>
      <w:pPr>
        <w:ind w:firstLine="640"/>
        <w:rPr>
          <w:color w:val="000000"/>
        </w:rPr>
      </w:pPr>
    </w:p>
    <w:p>
      <w:pPr>
        <w:ind w:firstLine="0" w:firstLineChars="0"/>
        <w:jc w:val="center"/>
        <w:outlineLvl w:val="1"/>
        <w:rPr>
          <w:rFonts w:eastAsia="黑体"/>
          <w:bCs/>
          <w:color w:val="000000"/>
          <w:szCs w:val="32"/>
        </w:rPr>
      </w:pPr>
      <w:r>
        <w:rPr>
          <w:rFonts w:eastAsia="黑体"/>
          <w:bCs/>
          <w:color w:val="000000"/>
          <w:szCs w:val="32"/>
        </w:rPr>
        <w:t>第三章  组织管理</w:t>
      </w:r>
    </w:p>
    <w:p>
      <w:pPr>
        <w:ind w:firstLine="643"/>
        <w:rPr>
          <w:color w:val="000000"/>
        </w:rPr>
      </w:pPr>
      <w:r>
        <w:rPr>
          <w:b/>
          <w:bCs/>
          <w:color w:val="000000"/>
        </w:rPr>
        <w:t>第六条</w:t>
      </w:r>
      <w:r>
        <w:rPr>
          <w:color w:val="000000"/>
        </w:rPr>
        <w:t xml:space="preserve">  省农业农村厅确定体系总体布局，各体系首席专家岗位、岗位专家岗位以及试验站的数量等重大事项。省农业农村厅负责体系具体组织管理工作，主要包括拟定体系发展方向、重点任务，研究制定体系相关管理制度，遴选、聘任、调整体系专家，组织签订各体系任务合同并开展考评等，组织实施专项资金全过程预算绩效管理。省财政厅会同省农业农村厅确定体系定额标准、年度资金规模等资金分配工作。</w:t>
      </w:r>
    </w:p>
    <w:p>
      <w:pPr>
        <w:ind w:firstLine="643"/>
        <w:rPr>
          <w:color w:val="000000"/>
        </w:rPr>
      </w:pPr>
      <w:r>
        <w:rPr>
          <w:b/>
          <w:bCs/>
          <w:color w:val="000000"/>
        </w:rPr>
        <w:t>第七条</w:t>
      </w:r>
      <w:r>
        <w:rPr>
          <w:color w:val="000000"/>
        </w:rPr>
        <w:t xml:space="preserve">  体系按需设岗，按岗聘人，实行动态管理，保持总体相对稳定。体系专家从全省优秀科技人员中遴选产生。</w:t>
      </w:r>
    </w:p>
    <w:p>
      <w:pPr>
        <w:ind w:firstLine="643"/>
        <w:rPr>
          <w:color w:val="000000"/>
        </w:rPr>
      </w:pPr>
      <w:r>
        <w:rPr>
          <w:b/>
          <w:bCs/>
          <w:color w:val="000000"/>
        </w:rPr>
        <w:t>第八条</w:t>
      </w:r>
      <w:r>
        <w:rPr>
          <w:color w:val="000000"/>
        </w:rPr>
        <w:t xml:space="preserve">  体系专家实行聘任制，5年为一个聘期。在5年实施期内，已启动的体系原则上不作大调整，根据产业发展确需调整的，由省农业农村厅研究决定。</w:t>
      </w:r>
    </w:p>
    <w:p>
      <w:pPr>
        <w:ind w:firstLine="643"/>
        <w:rPr>
          <w:color w:val="000000"/>
        </w:rPr>
      </w:pPr>
      <w:r>
        <w:rPr>
          <w:b/>
          <w:bCs/>
          <w:color w:val="000000"/>
        </w:rPr>
        <w:t xml:space="preserve">第九条 </w:t>
      </w:r>
      <w:r>
        <w:rPr>
          <w:color w:val="000000"/>
        </w:rPr>
        <w:t xml:space="preserve"> 出现下列情况之一的体系专家，应予解聘。</w:t>
      </w:r>
    </w:p>
    <w:p>
      <w:pPr>
        <w:ind w:firstLine="640"/>
        <w:rPr>
          <w:color w:val="000000"/>
        </w:rPr>
      </w:pPr>
      <w:r>
        <w:rPr>
          <w:color w:val="000000"/>
        </w:rPr>
        <w:t>（一）达到法定退休年龄的。</w:t>
      </w:r>
    </w:p>
    <w:p>
      <w:pPr>
        <w:ind w:firstLine="640"/>
        <w:rPr>
          <w:color w:val="000000"/>
        </w:rPr>
      </w:pPr>
      <w:r>
        <w:rPr>
          <w:color w:val="000000"/>
        </w:rPr>
        <w:t>（二）个人主动退出或工作单位异动调出湖南的。</w:t>
      </w:r>
    </w:p>
    <w:p>
      <w:pPr>
        <w:ind w:firstLine="640"/>
        <w:rPr>
          <w:color w:val="000000"/>
        </w:rPr>
      </w:pPr>
      <w:r>
        <w:rPr>
          <w:color w:val="000000"/>
        </w:rPr>
        <w:t>（三）考评不合格的。</w:t>
      </w:r>
    </w:p>
    <w:p>
      <w:pPr>
        <w:ind w:firstLine="640"/>
        <w:rPr>
          <w:color w:val="000000"/>
        </w:rPr>
      </w:pPr>
      <w:r>
        <w:rPr>
          <w:color w:val="000000"/>
        </w:rPr>
        <w:t>（四）年度考评近3年内连续2次或聘期内累计3次排名后10%的。</w:t>
      </w:r>
    </w:p>
    <w:p>
      <w:pPr>
        <w:ind w:firstLine="640"/>
        <w:rPr>
          <w:color w:val="000000"/>
        </w:rPr>
      </w:pPr>
      <w:r>
        <w:rPr>
          <w:color w:val="000000"/>
        </w:rPr>
        <w:t>（五）出现违纪违法或违反科研诚信的。</w:t>
      </w:r>
    </w:p>
    <w:p>
      <w:pPr>
        <w:ind w:firstLine="640"/>
        <w:rPr>
          <w:color w:val="000000"/>
        </w:rPr>
      </w:pPr>
      <w:r>
        <w:rPr>
          <w:color w:val="000000"/>
        </w:rPr>
        <w:t>（六）因体系调整不再设立岗站的。</w:t>
      </w:r>
    </w:p>
    <w:p>
      <w:pPr>
        <w:ind w:firstLine="640"/>
        <w:rPr>
          <w:color w:val="000000"/>
        </w:rPr>
      </w:pPr>
      <w:r>
        <w:rPr>
          <w:color w:val="000000"/>
        </w:rPr>
        <w:t>（七）其他应予解聘的。</w:t>
      </w:r>
    </w:p>
    <w:p>
      <w:pPr>
        <w:pStyle w:val="10"/>
        <w:snapToGrid w:val="0"/>
        <w:spacing w:line="579" w:lineRule="atLeast"/>
        <w:rPr>
          <w:rFonts w:ascii="Times New Roman"/>
          <w:color w:val="000000"/>
        </w:rPr>
      </w:pPr>
    </w:p>
    <w:p>
      <w:pPr>
        <w:ind w:firstLine="0" w:firstLineChars="0"/>
        <w:jc w:val="center"/>
        <w:outlineLvl w:val="1"/>
        <w:rPr>
          <w:rFonts w:eastAsia="黑体"/>
          <w:bCs/>
          <w:color w:val="000000"/>
          <w:szCs w:val="32"/>
        </w:rPr>
      </w:pPr>
      <w:r>
        <w:rPr>
          <w:rFonts w:eastAsia="黑体"/>
          <w:bCs/>
          <w:color w:val="000000"/>
          <w:szCs w:val="32"/>
        </w:rPr>
        <w:t>第四章  产生程序</w:t>
      </w:r>
    </w:p>
    <w:p>
      <w:pPr>
        <w:ind w:firstLine="643"/>
        <w:rPr>
          <w:color w:val="000000"/>
        </w:rPr>
      </w:pPr>
      <w:r>
        <w:rPr>
          <w:b/>
          <w:bCs/>
          <w:color w:val="000000"/>
        </w:rPr>
        <w:t xml:space="preserve">第十条 </w:t>
      </w:r>
      <w:r>
        <w:rPr>
          <w:color w:val="000000"/>
        </w:rPr>
        <w:t xml:space="preserve"> 体系专家聘任由省农业农村厅根据岗位需要，面向全省（含部委在湘科研院所）发布申报通知，明确遴选或聘任条件和资格。申请人根据当期设置的产业及首席专家岗位、岗位专家岗位、试验站站长遴选条件，选择一个相应岗位申报。</w:t>
      </w:r>
    </w:p>
    <w:p>
      <w:pPr>
        <w:ind w:firstLine="640"/>
        <w:rPr>
          <w:color w:val="000000"/>
        </w:rPr>
      </w:pPr>
      <w:r>
        <w:rPr>
          <w:color w:val="000000"/>
        </w:rPr>
        <w:t>申请人存在以下情况不得申报：</w:t>
      </w:r>
    </w:p>
    <w:p>
      <w:pPr>
        <w:ind w:firstLine="640"/>
        <w:rPr>
          <w:color w:val="000000"/>
        </w:rPr>
      </w:pPr>
      <w:r>
        <w:rPr>
          <w:color w:val="000000"/>
        </w:rPr>
        <w:t>（一）已超国家法定退休年龄或无法完成一个聘期的。</w:t>
      </w:r>
    </w:p>
    <w:p>
      <w:pPr>
        <w:ind w:firstLine="640"/>
        <w:rPr>
          <w:color w:val="000000"/>
        </w:rPr>
      </w:pPr>
      <w:r>
        <w:rPr>
          <w:color w:val="000000"/>
        </w:rPr>
        <w:t>（二）有违纪违法或违反科研诚信等不良记录的。</w:t>
      </w:r>
    </w:p>
    <w:p>
      <w:pPr>
        <w:ind w:firstLine="640"/>
        <w:rPr>
          <w:color w:val="000000"/>
        </w:rPr>
      </w:pPr>
      <w:r>
        <w:rPr>
          <w:color w:val="000000"/>
        </w:rPr>
        <w:t>（三）其他不符合申请条件的。</w:t>
      </w:r>
    </w:p>
    <w:p>
      <w:pPr>
        <w:ind w:firstLine="643"/>
        <w:rPr>
          <w:color w:val="000000"/>
        </w:rPr>
      </w:pPr>
      <w:r>
        <w:rPr>
          <w:b/>
          <w:bCs/>
          <w:color w:val="000000"/>
        </w:rPr>
        <w:t xml:space="preserve">第十一条 </w:t>
      </w:r>
      <w:r>
        <w:rPr>
          <w:color w:val="000000"/>
        </w:rPr>
        <w:t xml:space="preserve"> 申报体系专家的候选人，采取个人向所在单位申报、工作单位审核择优推荐、专家评审、社会公示、省农业农村厅党组审定的程序产生。原则上各体系45岁以下的岗位专家和试验站站长的数量占比不少于30%。</w:t>
      </w:r>
    </w:p>
    <w:p>
      <w:pPr>
        <w:ind w:firstLine="643"/>
        <w:rPr>
          <w:color w:val="000000"/>
        </w:rPr>
      </w:pPr>
      <w:r>
        <w:rPr>
          <w:b/>
          <w:bCs/>
          <w:color w:val="000000"/>
        </w:rPr>
        <w:t>第十二条</w:t>
      </w:r>
      <w:r>
        <w:rPr>
          <w:color w:val="000000"/>
        </w:rPr>
        <w:t xml:space="preserve">  5年期满后，省农业农村厅根据本管理办法中规定的遴选条件及产业发展需要，出台调整与遴选方案。</w:t>
      </w:r>
    </w:p>
    <w:p>
      <w:pPr>
        <w:ind w:firstLine="643"/>
        <w:rPr>
          <w:color w:val="000000"/>
          <w:shd w:val="clear" w:color="auto" w:fill="FFFFFF"/>
        </w:rPr>
      </w:pPr>
      <w:r>
        <w:rPr>
          <w:b/>
          <w:bCs/>
          <w:color w:val="000000"/>
        </w:rPr>
        <w:t>第十三条</w:t>
      </w:r>
      <w:r>
        <w:rPr>
          <w:color w:val="000000"/>
        </w:rPr>
        <w:t xml:space="preserve">  </w:t>
      </w:r>
      <w:r>
        <w:rPr>
          <w:color w:val="000000"/>
          <w:shd w:val="clear" w:color="auto" w:fill="FFFFFF"/>
        </w:rPr>
        <w:t>首席专家出现岗位空缺的，可由省农业农村厅指定1名岗位专家代理其岗位职责，直至遴选出新的人选。岗位专家和试验站站长出现岗位空缺的（含因考评原因调整的），由体系首席专家提名并报省农业农村厅批准后指定1名团队成员代理其岗位职责，直至遴选出新的人选。</w:t>
      </w:r>
    </w:p>
    <w:p>
      <w:pPr>
        <w:ind w:firstLine="643"/>
        <w:rPr>
          <w:color w:val="000000"/>
        </w:rPr>
      </w:pPr>
      <w:r>
        <w:rPr>
          <w:b/>
          <w:bCs/>
          <w:color w:val="000000"/>
        </w:rPr>
        <w:t>第十四条</w:t>
      </w:r>
      <w:r>
        <w:rPr>
          <w:color w:val="000000"/>
        </w:rPr>
        <w:t xml:space="preserve">  因故解聘而出现空缺的岗位，按照新聘程序重新遴选。依托单位应当组织对被解聘专家的工作和经费等开展总结和财务审计。</w:t>
      </w:r>
    </w:p>
    <w:p>
      <w:pPr>
        <w:ind w:firstLine="643"/>
        <w:rPr>
          <w:color w:val="000000"/>
        </w:rPr>
      </w:pPr>
      <w:r>
        <w:rPr>
          <w:b/>
          <w:bCs/>
          <w:color w:val="000000"/>
        </w:rPr>
        <w:t>第十五条</w:t>
      </w:r>
      <w:r>
        <w:rPr>
          <w:color w:val="000000"/>
        </w:rPr>
        <w:t xml:space="preserve">  根据体系建设规划和分期分批启动的原则，根据实际需要和省级财政预算增加，可增加实施新的体系，新启动实施的体系由省农业农村厅提出，报省农业农村厅党组研究决定。</w:t>
      </w:r>
    </w:p>
    <w:p>
      <w:pPr>
        <w:pStyle w:val="10"/>
        <w:snapToGrid w:val="0"/>
        <w:spacing w:line="579" w:lineRule="atLeast"/>
        <w:rPr>
          <w:rFonts w:ascii="Times New Roman"/>
          <w:color w:val="000000"/>
        </w:rPr>
      </w:pPr>
    </w:p>
    <w:p>
      <w:pPr>
        <w:ind w:firstLine="0" w:firstLineChars="0"/>
        <w:jc w:val="center"/>
        <w:outlineLvl w:val="1"/>
        <w:rPr>
          <w:rFonts w:eastAsia="黑体"/>
          <w:bCs/>
          <w:color w:val="000000"/>
          <w:szCs w:val="32"/>
        </w:rPr>
      </w:pPr>
      <w:r>
        <w:rPr>
          <w:rFonts w:eastAsia="黑体"/>
          <w:bCs/>
          <w:color w:val="000000"/>
          <w:szCs w:val="32"/>
        </w:rPr>
        <w:t>第五章  岗位职责</w:t>
      </w:r>
    </w:p>
    <w:p>
      <w:pPr>
        <w:ind w:firstLine="643"/>
        <w:rPr>
          <w:color w:val="000000"/>
        </w:rPr>
      </w:pPr>
      <w:r>
        <w:rPr>
          <w:b/>
          <w:bCs/>
          <w:color w:val="000000"/>
        </w:rPr>
        <w:t xml:space="preserve">第十六条 </w:t>
      </w:r>
      <w:r>
        <w:rPr>
          <w:color w:val="000000"/>
        </w:rPr>
        <w:t xml:space="preserve"> 首席专家主要职责是全面负责本体系任务的组织实施、运行指导和监督工作，研判国内外产业发展趋势，提出本体系阶段性、区域性、长期性科技需求，凝练科技研发任务和产业优化布局建议，为产业发展提供决策咨询。负责组织宣传并扩大体系影响力，营造全社会支持体系工作的氛围。加强对岗位专家和试验站的工作指导，特别是应急性工作的技术服务与指导。做好本体系的工作总结，组织本体系内部考核，并可根据考评结果，向省农业农村厅提出本体系岗位、试验站设置及人员调整建议。</w:t>
      </w:r>
    </w:p>
    <w:p>
      <w:pPr>
        <w:ind w:firstLine="643"/>
        <w:rPr>
          <w:color w:val="000000"/>
        </w:rPr>
      </w:pPr>
      <w:r>
        <w:rPr>
          <w:b/>
          <w:bCs/>
          <w:color w:val="000000"/>
        </w:rPr>
        <w:t>第十七条</w:t>
      </w:r>
      <w:r>
        <w:rPr>
          <w:color w:val="000000"/>
        </w:rPr>
        <w:t xml:space="preserve">  岗位专家主要职责是根据体系的目标任务，制定本岗位的5年工作计划与年度目标任务，围绕体系的重点工作，按照协作分工要求，组织本岗位团队开展技术攻关与集成，在试验站的展示基地试验示范本岗位团队取得的技术成果，共同打造可复制、可推广的样板，积极参与本体系的调研，开展技术培训与服务，特别是应急性工作的技术指导和服务，落实首席专家安排的其它任务。</w:t>
      </w:r>
    </w:p>
    <w:p>
      <w:pPr>
        <w:ind w:firstLine="643"/>
        <w:rPr>
          <w:color w:val="000000"/>
        </w:rPr>
      </w:pPr>
      <w:r>
        <w:rPr>
          <w:b/>
          <w:bCs/>
          <w:color w:val="000000"/>
        </w:rPr>
        <w:t xml:space="preserve">第十八条 </w:t>
      </w:r>
      <w:r>
        <w:rPr>
          <w:color w:val="000000"/>
        </w:rPr>
        <w:t xml:space="preserve"> 试验站站长主要职责是建好试验示范基地，承担体系团队安排的试验、示范与推广工作，对当地产业发展需要的技术、产品、品种等，根据区域生态条件集成、组装配套，制定适应当地生态区域的技术操作规程，并示范推广；对体系专家引育的新品种，开展生态适应性验证，筛选优良的品种，进一步加强示范推广，开展技术培训、技术服务，调查、收集、反馈本产业生产实际问题和技术需求信息，落实首席专家、岗位专家安排的其它任务。</w:t>
      </w:r>
    </w:p>
    <w:p>
      <w:pPr>
        <w:ind w:firstLine="643"/>
        <w:rPr>
          <w:color w:val="000000"/>
        </w:rPr>
      </w:pPr>
      <w:r>
        <w:rPr>
          <w:b/>
          <w:bCs/>
          <w:color w:val="000000"/>
        </w:rPr>
        <w:t>第十九条</w:t>
      </w:r>
      <w:r>
        <w:rPr>
          <w:color w:val="000000"/>
        </w:rPr>
        <w:t xml:space="preserve">  依托单位要严格履行法人主体责任，负责体系专家的工资福利、党政关系、人事管理和后勤保障，为体系专家工作提供必要的研究场所和辅助人员，及时向省农业农村厅报告体系专家工作单位调动、出国、违纪违法等重大事项。将体系工作纳入省级科研项目和任务进行日常监督和绩效管理，加强专项资金内控制度建设。</w:t>
      </w:r>
    </w:p>
    <w:p>
      <w:pPr>
        <w:ind w:firstLine="0" w:firstLineChars="0"/>
        <w:jc w:val="center"/>
        <w:rPr>
          <w:rFonts w:eastAsia="黑体"/>
          <w:bCs/>
          <w:color w:val="000000"/>
          <w:szCs w:val="32"/>
        </w:rPr>
      </w:pPr>
      <w:r>
        <w:rPr>
          <w:rFonts w:eastAsia="华文细黑"/>
          <w:color w:val="000000"/>
          <w:szCs w:val="32"/>
        </w:rPr>
        <w:br w:type="page"/>
      </w:r>
      <w:r>
        <w:rPr>
          <w:rFonts w:eastAsia="黑体"/>
          <w:bCs/>
          <w:color w:val="000000"/>
          <w:szCs w:val="32"/>
        </w:rPr>
        <w:t>第六章 遴选条件</w:t>
      </w:r>
    </w:p>
    <w:p>
      <w:pPr>
        <w:ind w:firstLine="643"/>
        <w:rPr>
          <w:color w:val="000000"/>
        </w:rPr>
      </w:pPr>
      <w:r>
        <w:rPr>
          <w:b/>
          <w:bCs/>
          <w:color w:val="000000"/>
        </w:rPr>
        <w:t>第二十条</w:t>
      </w:r>
      <w:r>
        <w:rPr>
          <w:color w:val="000000"/>
        </w:rPr>
        <w:t xml:space="preserve">  首席专家遴选条件：原则上从省级农业科研单位、高等院校中择优产生，且应符合以下条件：</w:t>
      </w:r>
    </w:p>
    <w:p>
      <w:pPr>
        <w:ind w:firstLine="640"/>
        <w:rPr>
          <w:color w:val="000000"/>
        </w:rPr>
      </w:pPr>
      <w:r>
        <w:rPr>
          <w:color w:val="000000"/>
        </w:rPr>
        <w:t>（一）认真学习贯彻习近平新时代中国特色社会主义思想，政治立场坚定，有强烈的事业心和责任感、为人正派，保证有充足的时间完成承担的任务，其投入体系的工作量应占本人工作量的50%以上。</w:t>
      </w:r>
    </w:p>
    <w:p>
      <w:pPr>
        <w:ind w:firstLine="616"/>
        <w:rPr>
          <w:color w:val="000000"/>
          <w:spacing w:val="-6"/>
        </w:rPr>
      </w:pPr>
      <w:r>
        <w:rPr>
          <w:color w:val="000000"/>
          <w:spacing w:val="-6"/>
        </w:rPr>
        <w:t>（二）具有正高级专业技术职称，从事与本产业相关研究5年以上，主持过与本产业相关的重大科研项目；具有较高的学术成就、出色的科研业绩和开拓创新能力；拥有较高的学术威望和丰富的指导生产实践经验，对本产业发展起到领军作用的在职人员。</w:t>
      </w:r>
    </w:p>
    <w:p>
      <w:pPr>
        <w:ind w:firstLine="640"/>
        <w:rPr>
          <w:color w:val="000000"/>
        </w:rPr>
      </w:pPr>
      <w:r>
        <w:rPr>
          <w:color w:val="000000"/>
        </w:rPr>
        <w:t>（三）有较强的组织协调能力、团结共事能力和团队管理能力，能充分调动和协调各方面科技资源，为本产业发展服务。</w:t>
      </w:r>
    </w:p>
    <w:p>
      <w:pPr>
        <w:ind w:firstLine="640"/>
        <w:rPr>
          <w:color w:val="000000"/>
        </w:rPr>
      </w:pPr>
      <w:r>
        <w:rPr>
          <w:color w:val="000000"/>
        </w:rPr>
        <w:t>（四）能自觉遵守体系的相关规章制度，自觉服从体系组织管理机构的领导、协调；积极性高，能热心为本产业发展服务。</w:t>
      </w:r>
    </w:p>
    <w:p>
      <w:pPr>
        <w:ind w:firstLine="640"/>
        <w:rPr>
          <w:color w:val="000000"/>
        </w:rPr>
      </w:pPr>
      <w:r>
        <w:rPr>
          <w:color w:val="000000"/>
        </w:rPr>
        <w:t>（五）无经费管理使用等违法违规问题或造成不良影响的科研行为。</w:t>
      </w:r>
    </w:p>
    <w:p>
      <w:pPr>
        <w:ind w:firstLine="640"/>
        <w:rPr>
          <w:color w:val="000000"/>
        </w:rPr>
      </w:pPr>
      <w:r>
        <w:rPr>
          <w:color w:val="000000"/>
        </w:rPr>
        <w:t>（六）未担任国家现代农业产业技术体系首席科学家。</w:t>
      </w:r>
    </w:p>
    <w:p>
      <w:pPr>
        <w:ind w:firstLine="640"/>
        <w:rPr>
          <w:color w:val="000000"/>
        </w:rPr>
      </w:pPr>
      <w:r>
        <w:rPr>
          <w:color w:val="000000"/>
        </w:rPr>
        <w:t>（七）年龄不超过55周岁（以档案年龄为准）。</w:t>
      </w:r>
    </w:p>
    <w:p>
      <w:pPr>
        <w:ind w:firstLine="640"/>
        <w:rPr>
          <w:color w:val="000000"/>
        </w:rPr>
      </w:pPr>
      <w:r>
        <w:rPr>
          <w:color w:val="000000"/>
        </w:rPr>
        <w:t>（八）具有正常履职的身体条件。</w:t>
      </w:r>
    </w:p>
    <w:p>
      <w:pPr>
        <w:ind w:firstLine="643"/>
        <w:rPr>
          <w:color w:val="000000"/>
        </w:rPr>
      </w:pPr>
      <w:r>
        <w:rPr>
          <w:b/>
          <w:bCs/>
          <w:color w:val="000000"/>
        </w:rPr>
        <w:t>第二十一条</w:t>
      </w:r>
      <w:r>
        <w:rPr>
          <w:color w:val="000000"/>
        </w:rPr>
        <w:t xml:space="preserve">  岗位专家遴选条件：原则上从省、市农业科研单位或高等院校中择优产生，且符合以下条件：</w:t>
      </w:r>
    </w:p>
    <w:p>
      <w:pPr>
        <w:ind w:firstLine="640"/>
        <w:rPr>
          <w:color w:val="000000"/>
        </w:rPr>
      </w:pPr>
      <w:r>
        <w:rPr>
          <w:color w:val="000000"/>
        </w:rPr>
        <w:t>（一）认真学习贯彻习近平新时代中国特色社会主义思想，政治立场坚定，有强烈的事业心和责任感、为人正派，保证有充足时间完成所承担的任务。</w:t>
      </w:r>
    </w:p>
    <w:p>
      <w:pPr>
        <w:ind w:firstLine="640"/>
        <w:rPr>
          <w:color w:val="000000"/>
        </w:rPr>
      </w:pPr>
      <w:r>
        <w:rPr>
          <w:color w:val="000000"/>
        </w:rPr>
        <w:t>（二）原则上应具有正高级专业技术职称。从事与本产业相关研究5年以上，主持或参与过与本产业相关的重大科研项目。具有突出的科研业绩和开拓创新能力，拥有较高的学术威望，以及丰富的指导生产实践经验。能对本产业发展切实发挥岗位职能作用的本单位在职人员。具有副高级专业技术职称参与岗位专家竞聘的，还应同时满足独立主持研究课题，并组建相应研发团队的优秀科技人员。</w:t>
      </w:r>
    </w:p>
    <w:p>
      <w:pPr>
        <w:ind w:firstLine="640"/>
        <w:rPr>
          <w:color w:val="000000"/>
        </w:rPr>
      </w:pPr>
      <w:r>
        <w:rPr>
          <w:color w:val="000000"/>
        </w:rPr>
        <w:t>（三）具有统筹组织全省本岗位研发的能力，有较强的组织协调能力、团结共事能力，能调动和协调各方面科技资源为本产业发展服务。</w:t>
      </w:r>
    </w:p>
    <w:p>
      <w:pPr>
        <w:ind w:firstLine="640"/>
        <w:rPr>
          <w:color w:val="000000"/>
        </w:rPr>
      </w:pPr>
      <w:r>
        <w:rPr>
          <w:color w:val="000000"/>
        </w:rPr>
        <w:t>（四）能自觉遵守体系的相关规章制度，自觉服从体系组织管理机构的领导、协调，积极性高，能热心为本产业发展服务。</w:t>
      </w:r>
    </w:p>
    <w:p>
      <w:pPr>
        <w:ind w:firstLine="640"/>
        <w:rPr>
          <w:color w:val="000000"/>
        </w:rPr>
      </w:pPr>
      <w:r>
        <w:rPr>
          <w:color w:val="000000"/>
        </w:rPr>
        <w:t>（五）未担任国家现代农业产业技术体系岗位科学家或试验站站长。</w:t>
      </w:r>
    </w:p>
    <w:p>
      <w:pPr>
        <w:ind w:firstLine="640"/>
        <w:rPr>
          <w:color w:val="000000"/>
        </w:rPr>
      </w:pPr>
      <w:r>
        <w:rPr>
          <w:color w:val="000000"/>
        </w:rPr>
        <w:t>（六）无经费管理使用等违法违规问题或造成不良影响的科研行为。</w:t>
      </w:r>
    </w:p>
    <w:p>
      <w:pPr>
        <w:ind w:firstLine="640"/>
        <w:rPr>
          <w:color w:val="000000"/>
        </w:rPr>
      </w:pPr>
      <w:r>
        <w:rPr>
          <w:color w:val="000000"/>
        </w:rPr>
        <w:t>（七）年龄不超过55周岁（以档案年龄为准）。</w:t>
      </w:r>
    </w:p>
    <w:p>
      <w:pPr>
        <w:ind w:firstLine="640"/>
        <w:rPr>
          <w:color w:val="000000"/>
        </w:rPr>
      </w:pPr>
      <w:r>
        <w:rPr>
          <w:color w:val="000000"/>
        </w:rPr>
        <w:t>（八）具有正常履职的身体条件。</w:t>
      </w:r>
    </w:p>
    <w:p>
      <w:pPr>
        <w:ind w:firstLine="643"/>
        <w:rPr>
          <w:color w:val="000000"/>
        </w:rPr>
      </w:pPr>
      <w:r>
        <w:rPr>
          <w:b/>
          <w:bCs/>
          <w:color w:val="000000"/>
        </w:rPr>
        <w:t>第二十二条</w:t>
      </w:r>
      <w:r>
        <w:rPr>
          <w:color w:val="000000"/>
        </w:rPr>
        <w:t xml:space="preserve">  试验站站长遴选条件：原则上从省、市农业科研单位、高等院校、农业科技推广部门等单位中择优产生，且符合以下条件：</w:t>
      </w:r>
    </w:p>
    <w:p>
      <w:pPr>
        <w:ind w:firstLine="640"/>
        <w:rPr>
          <w:color w:val="000000"/>
        </w:rPr>
      </w:pPr>
      <w:r>
        <w:rPr>
          <w:color w:val="000000"/>
        </w:rPr>
        <w:t>（一）认真学习贯彻习近平新时代中国特色社会主义思想，政治立场坚定，有强烈的事业心和责任感、为人正派，保证有充足时间完成所承担的任务。</w:t>
      </w:r>
    </w:p>
    <w:p>
      <w:pPr>
        <w:ind w:firstLine="640"/>
        <w:rPr>
          <w:color w:val="000000"/>
        </w:rPr>
      </w:pPr>
      <w:r>
        <w:rPr>
          <w:color w:val="000000"/>
        </w:rPr>
        <w:t>（二）具有中级及以上专业技术职称，有较强的技术创新、成果转化、试验示范及组织协调能力，熟悉本区域产业发展情况。中级专业技术职称人员申报时，需要提交两名本专业领域副高级以上专业技术职称的专家推荐信，且专家推荐信须推荐人签字并由其所在单位加盖公章。</w:t>
      </w:r>
    </w:p>
    <w:p>
      <w:pPr>
        <w:ind w:firstLine="640"/>
        <w:rPr>
          <w:color w:val="000000"/>
        </w:rPr>
      </w:pPr>
      <w:r>
        <w:rPr>
          <w:color w:val="000000"/>
        </w:rPr>
        <w:t>（三）能自觉遵守体系的相关规章制度，自觉服从体系组织管理机构的领导、协调，积极性高，能热心为本产业发展服务。</w:t>
      </w:r>
    </w:p>
    <w:p>
      <w:pPr>
        <w:ind w:firstLine="640"/>
        <w:rPr>
          <w:color w:val="000000"/>
        </w:rPr>
      </w:pPr>
      <w:r>
        <w:rPr>
          <w:color w:val="000000"/>
        </w:rPr>
        <w:t>（四）建设依托单位所在地产业发展优势明显，且具有相应的研发设施、试验条件、办公场所、人才团队等。</w:t>
      </w:r>
    </w:p>
    <w:p>
      <w:pPr>
        <w:ind w:firstLine="640"/>
        <w:rPr>
          <w:color w:val="000000"/>
        </w:rPr>
      </w:pPr>
      <w:r>
        <w:rPr>
          <w:color w:val="000000"/>
        </w:rPr>
        <w:t>（五）未担任国家现代农业产业技术体系岗位科学家或试验站站长。</w:t>
      </w:r>
    </w:p>
    <w:p>
      <w:pPr>
        <w:ind w:firstLine="640"/>
        <w:rPr>
          <w:color w:val="000000"/>
        </w:rPr>
      </w:pPr>
      <w:r>
        <w:rPr>
          <w:color w:val="000000"/>
        </w:rPr>
        <w:t>（六）无经费管理使用等违法违规问题或造成不良影响的科研行为。</w:t>
      </w:r>
    </w:p>
    <w:p>
      <w:pPr>
        <w:ind w:firstLine="640"/>
        <w:rPr>
          <w:color w:val="000000"/>
        </w:rPr>
      </w:pPr>
      <w:r>
        <w:rPr>
          <w:color w:val="000000"/>
        </w:rPr>
        <w:t>（七）年龄不超过55周岁（以档案年龄为准）。</w:t>
      </w:r>
    </w:p>
    <w:p>
      <w:pPr>
        <w:ind w:firstLine="640"/>
        <w:rPr>
          <w:color w:val="000000"/>
        </w:rPr>
      </w:pPr>
      <w:r>
        <w:rPr>
          <w:color w:val="000000"/>
        </w:rPr>
        <w:t>（八）具有正常履职的身体条件。</w:t>
      </w:r>
    </w:p>
    <w:p>
      <w:pPr>
        <w:ind w:firstLine="640"/>
        <w:rPr>
          <w:rFonts w:eastAsia="华文仿宋"/>
          <w:color w:val="000000"/>
          <w:szCs w:val="32"/>
        </w:rPr>
      </w:pPr>
    </w:p>
    <w:p>
      <w:pPr>
        <w:ind w:firstLine="640"/>
        <w:jc w:val="center"/>
        <w:outlineLvl w:val="1"/>
        <w:rPr>
          <w:rFonts w:eastAsia="黑体"/>
          <w:bCs/>
          <w:color w:val="000000"/>
          <w:szCs w:val="32"/>
        </w:rPr>
      </w:pPr>
    </w:p>
    <w:p>
      <w:pPr>
        <w:ind w:firstLine="0" w:firstLineChars="0"/>
        <w:jc w:val="center"/>
        <w:outlineLvl w:val="1"/>
        <w:rPr>
          <w:rFonts w:eastAsia="黑体"/>
          <w:bCs/>
          <w:color w:val="000000"/>
          <w:szCs w:val="32"/>
        </w:rPr>
      </w:pPr>
      <w:r>
        <w:rPr>
          <w:rFonts w:eastAsia="黑体"/>
          <w:bCs/>
          <w:color w:val="000000"/>
          <w:szCs w:val="32"/>
        </w:rPr>
        <w:t>第七章  任务管理</w:t>
      </w:r>
    </w:p>
    <w:p>
      <w:pPr>
        <w:ind w:firstLine="643"/>
        <w:rPr>
          <w:color w:val="000000"/>
        </w:rPr>
      </w:pPr>
      <w:r>
        <w:rPr>
          <w:b/>
          <w:bCs/>
          <w:color w:val="000000"/>
        </w:rPr>
        <w:t>第二十三条 </w:t>
      </w:r>
      <w:r>
        <w:rPr>
          <w:color w:val="000000"/>
        </w:rPr>
        <w:t> 体系任务设置每5年为一个实施周期，体系任务主要包括：</w:t>
      </w:r>
    </w:p>
    <w:p>
      <w:pPr>
        <w:ind w:firstLine="616"/>
        <w:rPr>
          <w:color w:val="000000"/>
          <w:spacing w:val="-6"/>
        </w:rPr>
      </w:pPr>
      <w:r>
        <w:rPr>
          <w:color w:val="000000"/>
          <w:spacing w:val="-6"/>
        </w:rPr>
        <w:t>（一）系统梳理产业发展现状和技术需求，凝练重大攻关目标。</w:t>
      </w:r>
    </w:p>
    <w:p>
      <w:pPr>
        <w:ind w:firstLine="640"/>
        <w:rPr>
          <w:color w:val="000000"/>
        </w:rPr>
      </w:pPr>
      <w:r>
        <w:rPr>
          <w:color w:val="000000"/>
        </w:rPr>
        <w:t>（二）开展全产业链关键技术研发、集成与示范。</w:t>
      </w:r>
    </w:p>
    <w:p>
      <w:pPr>
        <w:ind w:firstLine="640"/>
        <w:rPr>
          <w:color w:val="000000"/>
        </w:rPr>
      </w:pPr>
      <w:r>
        <w:rPr>
          <w:color w:val="000000"/>
        </w:rPr>
        <w:t>（三）开展产业基础信息收集整理与动态分析。</w:t>
      </w:r>
    </w:p>
    <w:p>
      <w:pPr>
        <w:ind w:firstLine="640"/>
        <w:rPr>
          <w:color w:val="000000"/>
        </w:rPr>
      </w:pPr>
      <w:r>
        <w:rPr>
          <w:color w:val="000000"/>
        </w:rPr>
        <w:t>（四）开展产业发展预测、政策研究与决策咨询。</w:t>
      </w:r>
    </w:p>
    <w:p>
      <w:pPr>
        <w:ind w:firstLine="640"/>
        <w:rPr>
          <w:color w:val="000000"/>
        </w:rPr>
      </w:pPr>
      <w:r>
        <w:rPr>
          <w:color w:val="000000"/>
        </w:rPr>
        <w:t>（五）为产业应急、突发性事件处置提供技术支撑。</w:t>
      </w:r>
    </w:p>
    <w:p>
      <w:pPr>
        <w:ind w:firstLine="640"/>
        <w:rPr>
          <w:color w:val="000000"/>
        </w:rPr>
      </w:pPr>
      <w:r>
        <w:rPr>
          <w:color w:val="000000"/>
        </w:rPr>
        <w:t>（六）为技术用户提供技术培训和指导服务。</w:t>
      </w:r>
    </w:p>
    <w:p>
      <w:pPr>
        <w:ind w:firstLine="640"/>
        <w:rPr>
          <w:color w:val="000000"/>
        </w:rPr>
      </w:pPr>
      <w:r>
        <w:rPr>
          <w:color w:val="000000"/>
        </w:rPr>
        <w:t>（七）上级管理部门安排的其他重要任务。</w:t>
      </w:r>
    </w:p>
    <w:p>
      <w:pPr>
        <w:ind w:firstLine="643"/>
        <w:rPr>
          <w:color w:val="000000"/>
        </w:rPr>
      </w:pPr>
      <w:r>
        <w:rPr>
          <w:b/>
          <w:bCs/>
          <w:color w:val="000000"/>
        </w:rPr>
        <w:t>第二十四条  </w:t>
      </w:r>
      <w:r>
        <w:rPr>
          <w:color w:val="000000"/>
        </w:rPr>
        <w:t>各体系应编制5年规划及年度计划。每5年周期开始的前一年，首席专家应当组织本体系专家围绕战略发展需求和产业发展目标，广泛征集政府部门、推广机构、行业协会、企业、农业生产经营主体等技术用户提出的技术需求，梳理凝练、组织论证，提出本体系未来5年需要协同完成的重点任务规划与分年度计划，报省农业农村厅审定。</w:t>
      </w:r>
    </w:p>
    <w:p>
      <w:pPr>
        <w:ind w:firstLine="643"/>
        <w:rPr>
          <w:color w:val="000000"/>
        </w:rPr>
      </w:pPr>
      <w:r>
        <w:rPr>
          <w:b/>
          <w:bCs/>
          <w:color w:val="000000"/>
        </w:rPr>
        <w:t>第二十五条 </w:t>
      </w:r>
      <w:r>
        <w:rPr>
          <w:color w:val="000000"/>
        </w:rPr>
        <w:t> 省农业农村厅根据体系任务规划，与首席专家签订5年任务规划书和分年度任务书。首席专家对每项任务进行分解，明确牵头人和技术负责人，确定各岗位专家和试验站站长分工责任，体系内各岗位专家、试验站站长与首席专家签订年度任务书，报省农业农村厅备案。</w:t>
      </w:r>
    </w:p>
    <w:p>
      <w:pPr>
        <w:ind w:firstLine="640"/>
        <w:jc w:val="center"/>
        <w:rPr>
          <w:rFonts w:eastAsia="华文细黑"/>
          <w:color w:val="000000"/>
          <w:szCs w:val="32"/>
        </w:rPr>
      </w:pPr>
    </w:p>
    <w:p>
      <w:pPr>
        <w:ind w:firstLine="0" w:firstLineChars="0"/>
        <w:jc w:val="center"/>
        <w:outlineLvl w:val="1"/>
        <w:rPr>
          <w:rFonts w:eastAsia="黑体"/>
          <w:bCs/>
          <w:color w:val="000000"/>
          <w:szCs w:val="32"/>
        </w:rPr>
      </w:pPr>
      <w:r>
        <w:rPr>
          <w:rFonts w:eastAsia="黑体"/>
          <w:bCs/>
          <w:color w:val="000000"/>
          <w:szCs w:val="32"/>
        </w:rPr>
        <w:t>第八章  资金管理</w:t>
      </w:r>
    </w:p>
    <w:p>
      <w:pPr>
        <w:ind w:firstLine="643"/>
        <w:rPr>
          <w:color w:val="000000"/>
        </w:rPr>
      </w:pPr>
      <w:r>
        <w:rPr>
          <w:b/>
          <w:bCs/>
          <w:color w:val="000000"/>
        </w:rPr>
        <w:t>第二十六条</w:t>
      </w:r>
      <w:r>
        <w:rPr>
          <w:color w:val="000000"/>
        </w:rPr>
        <w:t xml:space="preserve">  本专项资金管理按照《中华人民共和国预算法》、农业农村部财政部《现代农业产业技术体系建设专项管理办法》（农科教发〔2022〕3号）等相关政策和财政资金管理的有关规定执行。</w:t>
      </w:r>
    </w:p>
    <w:p>
      <w:pPr>
        <w:ind w:firstLine="643"/>
        <w:rPr>
          <w:color w:val="000000"/>
        </w:rPr>
      </w:pPr>
      <w:r>
        <w:rPr>
          <w:b/>
          <w:bCs/>
          <w:color w:val="000000"/>
        </w:rPr>
        <w:t xml:space="preserve">第二十七条 </w:t>
      </w:r>
      <w:r>
        <w:rPr>
          <w:color w:val="000000"/>
        </w:rPr>
        <w:t xml:space="preserve"> 专项资金实行定额管理，主要用于产业技术研发，试验站与体系建设直接相关的研究开发和试验示范等费用。</w:t>
      </w:r>
    </w:p>
    <w:p>
      <w:pPr>
        <w:ind w:firstLine="643"/>
        <w:rPr>
          <w:color w:val="000000"/>
        </w:rPr>
      </w:pPr>
      <w:r>
        <w:rPr>
          <w:b/>
          <w:bCs/>
          <w:color w:val="000000"/>
        </w:rPr>
        <w:t xml:space="preserve">第二十八条  </w:t>
      </w:r>
      <w:r>
        <w:rPr>
          <w:color w:val="000000"/>
        </w:rPr>
        <w:t>省农业农村厅按照农业产业发展的内在规律，合理分配专项资金在产业发展各环节、各产业和各区域的投入，与省科技计划（专项）资金、地方政府资金和农业技术推广、农民教育培训等财政转移支付资金等有机衔接，避免重复交叉。</w:t>
      </w:r>
    </w:p>
    <w:p>
      <w:pPr>
        <w:ind w:firstLine="643"/>
        <w:rPr>
          <w:color w:val="000000"/>
        </w:rPr>
      </w:pPr>
      <w:r>
        <w:rPr>
          <w:b/>
          <w:bCs/>
          <w:color w:val="000000"/>
        </w:rPr>
        <w:t xml:space="preserve">第二十九条  </w:t>
      </w:r>
      <w:r>
        <w:rPr>
          <w:color w:val="000000"/>
        </w:rPr>
        <w:t>专项资金可以用于设备费、业务费、劳务费、管理费。</w:t>
      </w:r>
    </w:p>
    <w:p>
      <w:pPr>
        <w:numPr>
          <w:ilvl w:val="0"/>
          <w:numId w:val="1"/>
        </w:numPr>
        <w:ind w:firstLine="640"/>
        <w:rPr>
          <w:color w:val="000000"/>
        </w:rPr>
      </w:pPr>
      <w:r>
        <w:rPr>
          <w:color w:val="000000"/>
        </w:rPr>
        <w:t>设备费。是指在研究开发和试验示范过程中，购置或试制专用仪器设备和软件工具等、升级改造现有仪器设备、以及租赁外单位仪器设备而发生的费用</w:t>
      </w:r>
    </w:p>
    <w:p>
      <w:pPr>
        <w:numPr>
          <w:ilvl w:val="0"/>
          <w:numId w:val="1"/>
        </w:numPr>
        <w:ind w:firstLine="640"/>
        <w:rPr>
          <w:color w:val="000000"/>
        </w:rPr>
      </w:pPr>
      <w:r>
        <w:rPr>
          <w:color w:val="000000"/>
        </w:rPr>
        <w:t>业务费。是指在研究开发和试验示范过程中，消耗的材料、辅助材料等低值易耗品费用，发生的测试化验加工、燃料动力、会议/差旅费、出版/文献/信息传播/知识产权事务等费用，以及其他相关支出。</w:t>
      </w:r>
    </w:p>
    <w:p>
      <w:pPr>
        <w:numPr>
          <w:ilvl w:val="0"/>
          <w:numId w:val="1"/>
        </w:numPr>
        <w:ind w:firstLine="640"/>
        <w:rPr>
          <w:color w:val="000000"/>
        </w:rPr>
      </w:pPr>
      <w:r>
        <w:rPr>
          <w:color w:val="000000"/>
        </w:rPr>
        <w:t>劳务费。是指在研究开发和试验示范过程中，支付给参与体系任务的研究生、博士后、访问学者、科研辅助人员和临时聘用人员等的劳务性费用。</w:t>
      </w:r>
    </w:p>
    <w:p>
      <w:pPr>
        <w:ind w:firstLine="640"/>
        <w:rPr>
          <w:color w:val="000000"/>
        </w:rPr>
      </w:pPr>
      <w:r>
        <w:rPr>
          <w:color w:val="000000"/>
        </w:rPr>
        <w:t>（四）管理费。是指在研究开发和试验示范过程中，对使用依托单位现有仪器设备及房屋、试验田，日常水、电、气、暖消耗，以及其他有关管理费用的补助支出。管理费比例不超过扣除设备费后经费总额的8%，由依托单位按规定管理和使用。</w:t>
      </w:r>
    </w:p>
    <w:p>
      <w:pPr>
        <w:ind w:firstLine="640"/>
        <w:rPr>
          <w:color w:val="000000"/>
        </w:rPr>
      </w:pPr>
      <w:r>
        <w:rPr>
          <w:color w:val="000000"/>
        </w:rPr>
        <w:t>设备费预算调剂的，由体系专家提出申请，依托单位统筹考虑现有设备配置情况和科研项目实际需求，及时办理审批手续。除设备费以外的其他费用调剂，由体系专家根据科研活动实际需要自主安排。</w:t>
      </w:r>
    </w:p>
    <w:p>
      <w:pPr>
        <w:ind w:firstLine="643"/>
        <w:rPr>
          <w:color w:val="000000"/>
        </w:rPr>
      </w:pPr>
      <w:r>
        <w:rPr>
          <w:b/>
          <w:bCs/>
          <w:color w:val="000000"/>
        </w:rPr>
        <w:t>第三十条</w:t>
      </w:r>
      <w:r>
        <w:rPr>
          <w:color w:val="000000"/>
        </w:rPr>
        <w:t xml:space="preserve">  专项资金下达到体系专家的依托单位，由依托单位对专项资金单独设账，单独核算，责任人签字、规范支出。专项资金的支付按照财政资金支付管理的有关规定执行，资金使用中涉及政府采购的，按照政府采购有关规定执行。每年按时报送财务决算和下年预算。经费使用情况接受上级主管部门监督和审计部门审计。</w:t>
      </w:r>
    </w:p>
    <w:p>
      <w:pPr>
        <w:pStyle w:val="10"/>
        <w:snapToGrid w:val="0"/>
        <w:spacing w:line="579" w:lineRule="atLeast"/>
        <w:ind w:firstLine="643"/>
        <w:rPr>
          <w:rFonts w:ascii="Times New Roman"/>
          <w:color w:val="000000"/>
          <w:sz w:val="32"/>
          <w:szCs w:val="32"/>
        </w:rPr>
      </w:pPr>
      <w:r>
        <w:rPr>
          <w:rFonts w:ascii="Times New Roman"/>
          <w:b/>
          <w:bCs/>
          <w:color w:val="000000"/>
          <w:sz w:val="32"/>
        </w:rPr>
        <w:t xml:space="preserve">第三十一条  </w:t>
      </w:r>
      <w:r>
        <w:rPr>
          <w:rFonts w:ascii="Times New Roman"/>
          <w:color w:val="000000"/>
          <w:sz w:val="32"/>
          <w:szCs w:val="32"/>
        </w:rPr>
        <w:t>专项资金形成的资产由依托单位按照国有资产有关规定管理，必须优先保证体系的建设和运行。</w:t>
      </w:r>
    </w:p>
    <w:p>
      <w:pPr>
        <w:pStyle w:val="10"/>
        <w:snapToGrid w:val="0"/>
        <w:spacing w:line="579" w:lineRule="atLeast"/>
        <w:ind w:firstLine="643"/>
        <w:rPr>
          <w:rFonts w:ascii="Times New Roman"/>
          <w:color w:val="000000"/>
          <w:sz w:val="32"/>
          <w:szCs w:val="32"/>
        </w:rPr>
      </w:pPr>
      <w:r>
        <w:rPr>
          <w:rFonts w:ascii="Times New Roman"/>
          <w:b/>
          <w:bCs/>
          <w:color w:val="000000"/>
          <w:sz w:val="32"/>
        </w:rPr>
        <w:t xml:space="preserve">第三十二条  </w:t>
      </w:r>
      <w:r>
        <w:rPr>
          <w:rFonts w:ascii="Times New Roman"/>
          <w:color w:val="000000"/>
          <w:sz w:val="32"/>
        </w:rPr>
        <w:t>专项资金全部纳入预算绩效管理，从成本、产出、效益、满意度等方面，综合衡量项目资金使用效果。专项资金的绩效指标设置应指向明确、突出重点、细化、量化、可考核。省农业农村厅组织对绩效目标实现度和预算执行进度实行“双监控”，及时纠正发现的问题。专项资金采取依托单位自评和外部评价相结合的绩效评价方式，必要时可以引入第三方机构参与绩效评价，重点评价体系与产业的关联度、体系科学研究的创新度、体系对产业发展的贡献度等。省农业农村厅根据绩效运行监控和绩效评价结果，相应调整或取消对体系专家的资金支持。</w:t>
      </w:r>
    </w:p>
    <w:p>
      <w:pPr>
        <w:pStyle w:val="10"/>
        <w:snapToGrid w:val="0"/>
        <w:spacing w:line="579" w:lineRule="atLeast"/>
        <w:ind w:firstLine="643"/>
        <w:rPr>
          <w:rFonts w:ascii="Times New Roman"/>
          <w:color w:val="000000"/>
          <w:sz w:val="32"/>
        </w:rPr>
      </w:pPr>
      <w:r>
        <w:rPr>
          <w:rFonts w:ascii="Times New Roman"/>
          <w:b/>
          <w:bCs/>
          <w:color w:val="000000"/>
          <w:sz w:val="32"/>
        </w:rPr>
        <w:t>第三十三条</w:t>
      </w:r>
      <w:r>
        <w:rPr>
          <w:rFonts w:ascii="Times New Roman"/>
          <w:color w:val="000000"/>
          <w:sz w:val="32"/>
        </w:rPr>
        <w:t xml:space="preserve">  在完成体系任务目标并评价合格后，结余资金可由体系专家统筹用于与体系任务相关的科研活动直接支出，并由依托单位监管。</w:t>
      </w:r>
    </w:p>
    <w:p>
      <w:pPr>
        <w:pStyle w:val="10"/>
        <w:snapToGrid w:val="0"/>
        <w:spacing w:line="579" w:lineRule="atLeast"/>
        <w:ind w:firstLine="640"/>
        <w:rPr>
          <w:rFonts w:ascii="Times New Roman"/>
          <w:color w:val="000000"/>
          <w:sz w:val="32"/>
        </w:rPr>
      </w:pPr>
    </w:p>
    <w:p>
      <w:pPr>
        <w:ind w:firstLine="0" w:firstLineChars="0"/>
        <w:jc w:val="center"/>
        <w:outlineLvl w:val="1"/>
        <w:rPr>
          <w:rFonts w:eastAsia="黑体"/>
          <w:bCs/>
          <w:color w:val="000000"/>
          <w:szCs w:val="32"/>
        </w:rPr>
      </w:pPr>
      <w:r>
        <w:rPr>
          <w:rFonts w:eastAsia="黑体"/>
          <w:bCs/>
          <w:color w:val="000000"/>
          <w:szCs w:val="32"/>
        </w:rPr>
        <w:t>第九章  日常管理</w:t>
      </w:r>
    </w:p>
    <w:p>
      <w:pPr>
        <w:ind w:firstLine="643"/>
        <w:rPr>
          <w:color w:val="000000"/>
        </w:rPr>
      </w:pPr>
      <w:r>
        <w:rPr>
          <w:b/>
          <w:bCs/>
          <w:color w:val="000000"/>
        </w:rPr>
        <w:t xml:space="preserve">第三十四条 </w:t>
      </w:r>
      <w:r>
        <w:rPr>
          <w:color w:val="000000"/>
        </w:rPr>
        <w:t xml:space="preserve"> 各体系应设立体系办，承担体系日常管理，对体系任务、研究进展、经费支出等进行工作管理及业务交流。岗位专家和试验站站长建立网上个人办公室，填写并及时更新个人基本情况、工作日志、经费支出、年度总结、财务决算报告等内容，开展业务交流。</w:t>
      </w:r>
    </w:p>
    <w:p>
      <w:pPr>
        <w:ind w:firstLine="643"/>
        <w:rPr>
          <w:color w:val="000000"/>
        </w:rPr>
      </w:pPr>
      <w:r>
        <w:rPr>
          <w:b/>
          <w:bCs/>
          <w:color w:val="000000"/>
        </w:rPr>
        <w:t xml:space="preserve">第三十五条 </w:t>
      </w:r>
      <w:r>
        <w:rPr>
          <w:color w:val="000000"/>
        </w:rPr>
        <w:t xml:space="preserve"> 首席专家出国（境）须提前30日向省农业农村厅报备。岗位专家和试验站站长出国（境）须提前30日向首席专家请假。聘期内单次出国（境）不得超过6个月。</w:t>
      </w:r>
    </w:p>
    <w:p>
      <w:pPr>
        <w:ind w:firstLine="643"/>
        <w:rPr>
          <w:color w:val="000000"/>
        </w:rPr>
      </w:pPr>
      <w:r>
        <w:rPr>
          <w:b/>
          <w:bCs/>
          <w:color w:val="000000"/>
        </w:rPr>
        <w:t>第三十六条</w:t>
      </w:r>
      <w:r>
        <w:rPr>
          <w:color w:val="000000"/>
        </w:rPr>
        <w:t xml:space="preserve">  因机构合并、分立、更名等原因确需变更单位名称的，由省农业农村厅审核后变更。</w:t>
      </w:r>
    </w:p>
    <w:p>
      <w:pPr>
        <w:ind w:firstLine="643"/>
        <w:rPr>
          <w:color w:val="000000"/>
        </w:rPr>
      </w:pPr>
      <w:r>
        <w:rPr>
          <w:b/>
          <w:bCs/>
          <w:color w:val="000000"/>
        </w:rPr>
        <w:t xml:space="preserve">第三十七条 </w:t>
      </w:r>
      <w:r>
        <w:rPr>
          <w:color w:val="000000"/>
        </w:rPr>
        <w:t xml:space="preserve"> 依托单位须在30日内对体系专家出现工作单位调动、出国（境）超过6个月、违纪违法、违反科研诚信、因身体原因无法承担体系工作等重大事项，向省农业农村厅提交书面情况报告。逾期未报且对体系工作造成严重影响的，取消依托单位推荐资格。</w:t>
      </w:r>
    </w:p>
    <w:p>
      <w:pPr>
        <w:ind w:firstLine="643"/>
        <w:rPr>
          <w:color w:val="000000"/>
        </w:rPr>
      </w:pPr>
      <w:r>
        <w:rPr>
          <w:b/>
          <w:bCs/>
          <w:color w:val="000000"/>
        </w:rPr>
        <w:t xml:space="preserve">第三十八条 </w:t>
      </w:r>
      <w:r>
        <w:rPr>
          <w:color w:val="000000"/>
        </w:rPr>
        <w:t xml:space="preserve"> 体系根据任务需要组织召开会议，坚持厉行节约，按照有关会议标准规定执行。除会议场馆设备租用费用由会议代表分摊外，不得收取任何额外费用。首席专家及其他人员不得以体系名义擅自调用体系专家参加体系任务外的各类活动。</w:t>
      </w:r>
    </w:p>
    <w:p>
      <w:pPr>
        <w:ind w:firstLine="643"/>
        <w:rPr>
          <w:color w:val="000000"/>
        </w:rPr>
      </w:pPr>
      <w:r>
        <w:rPr>
          <w:b/>
          <w:bCs/>
          <w:color w:val="000000"/>
        </w:rPr>
        <w:t>第三十九条</w:t>
      </w:r>
      <w:r>
        <w:rPr>
          <w:color w:val="000000"/>
        </w:rPr>
        <w:t xml:space="preserve">  体系在执行任务过程中，须按照国家科技保密有关法律法规进行管理。</w:t>
      </w:r>
    </w:p>
    <w:p>
      <w:pPr>
        <w:ind w:firstLine="643"/>
        <w:rPr>
          <w:color w:val="000000"/>
        </w:rPr>
      </w:pPr>
      <w:r>
        <w:rPr>
          <w:b/>
          <w:bCs/>
          <w:color w:val="000000"/>
        </w:rPr>
        <w:t xml:space="preserve">第四十条 </w:t>
      </w:r>
      <w:r>
        <w:rPr>
          <w:color w:val="000000"/>
        </w:rPr>
        <w:t xml:space="preserve"> 使用专项资金开展工作形成的成果、论文、专著以及媒体宣传材料等，须标注“湖南省**产业技术体系”及体系编号或体现体系专家身份。</w:t>
      </w:r>
    </w:p>
    <w:p>
      <w:pPr>
        <w:ind w:firstLine="643"/>
        <w:rPr>
          <w:color w:val="000000"/>
        </w:rPr>
      </w:pPr>
      <w:r>
        <w:rPr>
          <w:b/>
          <w:bCs/>
          <w:color w:val="000000"/>
        </w:rPr>
        <w:t xml:space="preserve">第四十一条 </w:t>
      </w:r>
      <w:r>
        <w:rPr>
          <w:color w:val="000000"/>
        </w:rPr>
        <w:t xml:space="preserve"> 各体系办应及时将实施体系任务、开展体系工作形成的相关文字资料和图像资料等进行整理归档。体系专家的技术资料均需由依托单位归档，省农业农村厅保留调用权利。</w:t>
      </w:r>
    </w:p>
    <w:p>
      <w:pPr>
        <w:pStyle w:val="10"/>
        <w:snapToGrid w:val="0"/>
        <w:spacing w:line="579" w:lineRule="atLeast"/>
        <w:ind w:firstLine="640"/>
        <w:rPr>
          <w:rFonts w:ascii="Times New Roman"/>
          <w:color w:val="000000"/>
          <w:sz w:val="32"/>
        </w:rPr>
      </w:pPr>
    </w:p>
    <w:p>
      <w:pPr>
        <w:ind w:firstLine="0" w:firstLineChars="0"/>
        <w:jc w:val="center"/>
        <w:outlineLvl w:val="1"/>
        <w:rPr>
          <w:rFonts w:eastAsia="黑体"/>
          <w:bCs/>
          <w:color w:val="000000"/>
          <w:szCs w:val="32"/>
        </w:rPr>
      </w:pPr>
      <w:r>
        <w:rPr>
          <w:rFonts w:eastAsia="黑体"/>
          <w:bCs/>
          <w:color w:val="000000"/>
          <w:szCs w:val="32"/>
        </w:rPr>
        <w:t>第十章  绩效考核</w:t>
      </w:r>
    </w:p>
    <w:p>
      <w:pPr>
        <w:ind w:firstLine="643"/>
        <w:rPr>
          <w:color w:val="000000"/>
        </w:rPr>
      </w:pPr>
      <w:r>
        <w:rPr>
          <w:b/>
          <w:bCs/>
          <w:color w:val="000000"/>
        </w:rPr>
        <w:t xml:space="preserve">第四十二条 </w:t>
      </w:r>
      <w:r>
        <w:rPr>
          <w:color w:val="000000"/>
        </w:rPr>
        <w:t xml:space="preserve"> 省农业农村厅出台《湖南省现代农业产业技术体系建设考评细则》，根据细则对体系任务完成情况开展考评，包括年度考评、监督巡查和综合绩效评价。</w:t>
      </w:r>
    </w:p>
    <w:p>
      <w:pPr>
        <w:ind w:firstLine="640"/>
        <w:rPr>
          <w:color w:val="000000"/>
        </w:rPr>
      </w:pPr>
      <w:r>
        <w:rPr>
          <w:color w:val="000000"/>
        </w:rPr>
        <w:t>首席专家的考评，由省农业农村厅会同有关部门组织实施。岗位专家和试验站站长的考评，由省农业农村厅与各体系首席专家组织实施，并按照优秀、良好、合格和不合格四档出具考评结果。参照农业农村部的做法，考评结果必须排名，不合格者可直接淘汰。</w:t>
      </w:r>
    </w:p>
    <w:p>
      <w:pPr>
        <w:ind w:firstLine="640"/>
        <w:rPr>
          <w:color w:val="000000"/>
        </w:rPr>
      </w:pPr>
      <w:r>
        <w:rPr>
          <w:color w:val="000000"/>
        </w:rPr>
        <w:t>（一）年度考评。省农业农村厅组织对首席专家年度履职情况进行考评，考评结果由省农业农村厅向其依托单位进行通报。聘期考评在每五年实施周期最后一年的11月份进行，聘期考评当年不再进行年度考评。</w:t>
      </w:r>
    </w:p>
    <w:p>
      <w:pPr>
        <w:ind w:firstLine="640"/>
        <w:rPr>
          <w:color w:val="000000"/>
        </w:rPr>
      </w:pPr>
      <w:r>
        <w:rPr>
          <w:color w:val="000000"/>
        </w:rPr>
        <w:t>（二）监督检查。省农业农村厅聘请项目管理、专业技术和财务审计专家等组建监督检查组，主要对需要协同完成的体系重点任务、产业贡献、规范管理、经费使用等方面开展不定期监督检查，并出具监督检查意见，向体系通报并督促整改。原则上，每五年至少对各体系检查1次。</w:t>
      </w:r>
    </w:p>
    <w:p>
      <w:pPr>
        <w:ind w:firstLine="640"/>
        <w:rPr>
          <w:color w:val="000000"/>
        </w:rPr>
      </w:pPr>
      <w:r>
        <w:rPr>
          <w:color w:val="000000"/>
        </w:rPr>
        <w:t>（三）综合绩效评价。在实施周期最后一年，省农业农村厅进行综合绩效评价。评价结果作为下一个实施周期体系优化布局的重要依据。</w:t>
      </w:r>
    </w:p>
    <w:p>
      <w:pPr>
        <w:ind w:firstLine="643"/>
        <w:rPr>
          <w:color w:val="000000"/>
        </w:rPr>
      </w:pPr>
      <w:r>
        <w:rPr>
          <w:b/>
          <w:bCs/>
          <w:color w:val="000000"/>
        </w:rPr>
        <w:t>第四十三条</w:t>
      </w:r>
      <w:r>
        <w:rPr>
          <w:color w:val="000000"/>
        </w:rPr>
        <w:t xml:space="preserve">  绩效考核以任务书为依据分年度考核。实施期内，每年度12月进行，对本年度的任务完成情况及效果进行全面考核。</w:t>
      </w:r>
    </w:p>
    <w:p>
      <w:pPr>
        <w:ind w:firstLine="643"/>
        <w:rPr>
          <w:color w:val="000000"/>
        </w:rPr>
      </w:pPr>
      <w:r>
        <w:rPr>
          <w:b/>
          <w:bCs/>
          <w:color w:val="000000"/>
        </w:rPr>
        <w:t xml:space="preserve">第四十四条 </w:t>
      </w:r>
      <w:r>
        <w:rPr>
          <w:color w:val="000000"/>
        </w:rPr>
        <w:t xml:space="preserve"> 省农业农村厅建立优秀体系专家通报表扬制度。原则上考评优秀的体系专家数量不超过本体系专家总人数的30%。凡年度考评优秀的，省农业农村厅在全体系内通报表扬。</w:t>
      </w:r>
    </w:p>
    <w:p>
      <w:pPr>
        <w:ind w:firstLine="640"/>
        <w:rPr>
          <w:rFonts w:eastAsia="华文仿宋"/>
          <w:color w:val="000000"/>
          <w:szCs w:val="32"/>
        </w:rPr>
      </w:pPr>
    </w:p>
    <w:p>
      <w:pPr>
        <w:ind w:firstLine="0" w:firstLineChars="0"/>
        <w:jc w:val="center"/>
        <w:outlineLvl w:val="1"/>
        <w:rPr>
          <w:rFonts w:eastAsia="黑体"/>
          <w:bCs/>
          <w:color w:val="000000"/>
          <w:szCs w:val="32"/>
        </w:rPr>
      </w:pPr>
      <w:r>
        <w:rPr>
          <w:rFonts w:eastAsia="黑体"/>
          <w:bCs/>
          <w:color w:val="000000"/>
          <w:szCs w:val="32"/>
        </w:rPr>
        <w:t>第十一章  附则</w:t>
      </w:r>
    </w:p>
    <w:p>
      <w:pPr>
        <w:ind w:firstLine="643"/>
        <w:rPr>
          <w:color w:val="000000"/>
        </w:rPr>
      </w:pPr>
      <w:r>
        <w:rPr>
          <w:b/>
          <w:bCs/>
          <w:color w:val="000000"/>
        </w:rPr>
        <w:t>第四十五条</w:t>
      </w:r>
      <w:r>
        <w:rPr>
          <w:color w:val="000000"/>
        </w:rPr>
        <w:t xml:space="preserve">  “湖南省现代农业产业技术体系”英文名称为“Hunan Agriculture Research System”，缩写为HARS。各体系的规范名称及体系编号为：湖南省水稻产业技术体系（HARS-01）、湖南省旱粮产业技术体系（HARS-02）、湖南省油料产业技术体系（HARS-03）、湖南省蔬菜产业技术体系（HARS-04）、湖南省生猪产业技术体系（HARS-05）、湖南省家禽产业技术体系（HARS-06）、湖南省水产产业技术体系（HARS-07）、湖南省草食动物产业技术体系（HARS-08）、湖南省水果产业技术体系（HARS-09）、湖南省茶叶产业技术体系（HARS-10）、湖南省中药材产业技术体系（HARS-11）、湖南省棉花产业技术体系（HARS-12）。</w:t>
      </w:r>
    </w:p>
    <w:p>
      <w:pPr>
        <w:ind w:firstLine="643"/>
        <w:rPr>
          <w:color w:val="000000"/>
        </w:rPr>
      </w:pPr>
      <w:r>
        <w:rPr>
          <w:b/>
          <w:bCs/>
          <w:color w:val="000000"/>
        </w:rPr>
        <w:t xml:space="preserve">第四十六条 </w:t>
      </w:r>
      <w:r>
        <w:rPr>
          <w:color w:val="000000"/>
        </w:rPr>
        <w:t xml:space="preserve"> 本办法自</w:t>
      </w:r>
      <w:r>
        <w:rPr>
          <w:rFonts w:hint="eastAsia"/>
          <w:color w:val="000000"/>
          <w:lang w:eastAsia="zh-CN"/>
        </w:rPr>
        <w:t>公布</w:t>
      </w:r>
      <w:r>
        <w:rPr>
          <w:color w:val="000000"/>
        </w:rPr>
        <w:t>之日起生效，有效期五年。</w:t>
      </w:r>
    </w:p>
    <w:p>
      <w:pPr>
        <w:ind w:firstLine="640"/>
        <w:rPr>
          <w:color w:val="000000"/>
        </w:rPr>
      </w:pPr>
    </w:p>
    <w:p>
      <w:pPr>
        <w:ind w:firstLine="640"/>
        <w:rPr>
          <w:color w:val="000000"/>
        </w:rPr>
      </w:pPr>
    </w:p>
    <w:p>
      <w:pPr>
        <w:ind w:firstLine="640"/>
        <w:rPr>
          <w:rFonts w:hint="eastAsia"/>
          <w:color w:val="000000"/>
        </w:rPr>
      </w:pPr>
    </w:p>
    <w:p>
      <w:pPr>
        <w:ind w:firstLine="640"/>
        <w:rPr>
          <w:rFonts w:hint="eastAsia"/>
          <w:color w:val="000000"/>
        </w:rPr>
      </w:pPr>
    </w:p>
    <w:p>
      <w:pPr>
        <w:ind w:firstLine="640"/>
        <w:rPr>
          <w:rFonts w:hint="eastAsia"/>
          <w:color w:val="000000"/>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pStyle w:val="8"/>
        <w:spacing w:line="40" w:lineRule="exact"/>
        <w:ind w:firstLine="640" w:firstLineChars="200"/>
        <w:rPr>
          <w:rFonts w:ascii="Times New Roman" w:hAnsi="Times New Roman" w:eastAsia="仿宋_GB2312" w:cs="Times New Roman"/>
          <w:color w:val="000000"/>
          <w:sz w:val="32"/>
          <w:szCs w:val="32"/>
        </w:rPr>
      </w:pPr>
    </w:p>
    <w:p>
      <w:pPr>
        <w:spacing w:line="520" w:lineRule="exact"/>
        <w:ind w:firstLine="0" w:firstLineChars="0"/>
        <w:rPr>
          <w:rFonts w:hint="eastAsia" w:eastAsia="方正小标宋简体"/>
          <w:color w:val="000000"/>
          <w:sz w:val="28"/>
          <w:szCs w:val="28"/>
          <w:lang w:eastAsia="zh-CN"/>
        </w:rPr>
      </w:pPr>
      <w:r>
        <w:rPr>
          <w:rFonts w:eastAsia="黑体"/>
          <w:color w:val="000000"/>
          <w:sz w:val="28"/>
          <w:szCs w:val="28"/>
        </w:rPr>
        <w:t>信息公开选项：</w:t>
      </w:r>
      <w:r>
        <w:rPr>
          <w:rFonts w:hint="eastAsia" w:eastAsia="方正小标宋简体"/>
          <w:color w:val="000000"/>
          <w:sz w:val="28"/>
          <w:szCs w:val="28"/>
          <w:lang w:eastAsia="zh-CN"/>
        </w:rPr>
        <w:t>主动</w:t>
      </w:r>
      <w:r>
        <w:rPr>
          <w:rFonts w:eastAsia="方正小标宋简体"/>
          <w:color w:val="000000"/>
          <w:sz w:val="28"/>
          <w:szCs w:val="28"/>
        </w:rPr>
        <w:t>公</w:t>
      </w:r>
      <w:r>
        <w:rPr>
          <w:rFonts w:hint="eastAsia" w:eastAsia="方正小标宋简体"/>
          <w:color w:val="000000"/>
          <w:sz w:val="28"/>
          <w:szCs w:val="28"/>
          <w:lang w:eastAsia="zh-CN"/>
        </w:rPr>
        <w:t>开</w:t>
      </w:r>
    </w:p>
    <w:p>
      <w:pPr>
        <w:spacing w:line="520" w:lineRule="exact"/>
        <w:ind w:firstLine="320" w:firstLineChars="100"/>
        <w:rPr>
          <w:color w:val="000000"/>
        </w:rPr>
      </w:pPr>
      <w:r>
        <w:rPr>
          <w:color w:val="00000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13335</wp:posOffset>
                </wp:positionV>
                <wp:extent cx="5615940" cy="0"/>
                <wp:effectExtent l="0" t="0" r="0" b="0"/>
                <wp:wrapNone/>
                <wp:docPr id="1" name="直线 42"/>
                <wp:cNvGraphicFramePr/>
                <a:graphic xmlns:a="http://schemas.openxmlformats.org/drawingml/2006/main">
                  <a:graphicData uri="http://schemas.microsoft.com/office/word/2010/wordprocessingShape">
                    <wps:wsp>
                      <wps:cNvCnPr/>
                      <wps:spPr>
                        <a:xfrm>
                          <a:off x="0" y="0"/>
                          <a:ext cx="5615940" cy="0"/>
                        </a:xfrm>
                        <a:prstGeom prst="line">
                          <a:avLst/>
                        </a:prstGeom>
                        <a:ln w="4445" cap="flat" cmpd="sng">
                          <a:solidFill>
                            <a:srgbClr val="000000"/>
                          </a:solidFill>
                          <a:prstDash val="solid"/>
                          <a:headEnd type="none" w="med" len="med"/>
                          <a:tailEnd type="none" w="med" len="med"/>
                        </a:ln>
                      </wps:spPr>
                      <wps:bodyPr upright="1"/>
                    </wps:wsp>
                  </a:graphicData>
                </a:graphic>
              </wp:anchor>
            </w:drawing>
          </mc:Choice>
          <mc:Fallback>
            <w:pict>
              <v:line id="直线 42" o:spid="_x0000_s1026" o:spt="20" style="position:absolute;left:0pt;margin-left:0pt;margin-top:1.05pt;height:0pt;width:442.2pt;z-index:251659264;mso-width-relative:page;mso-height-relative:page;" filled="f" stroked="t" coordsize="21600,21600" o:gfxdata="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YdX7TAAAA&#10;BAEAAA8AAAAAAAAAAQAgAAAAIgAAAGRycy9kb3ducmV2LnhtbFBLAQIUABQAAAAIAIdO4kCkBjHf&#10;6QEAANwDAAAOAAAAAAAAAAEAIAAAACIBAABkcnMvZTJvRG9jLnhtbFBLBQYAAAAABgAGAFkBAAB9&#10;BQAAAAA=&#10;">
                <v:fill on="f" focussize="0,0"/>
                <v:stroke weight="0.35pt" color="#000000" joinstyle="round"/>
                <v:imagedata o:title=""/>
                <o:lock v:ext="edit" aspectratio="f"/>
              </v:line>
            </w:pict>
          </mc:Fallback>
        </mc:AlternateContent>
      </w:r>
      <w:r>
        <w:rPr>
          <w:color w:val="00000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393065</wp:posOffset>
                </wp:positionV>
                <wp:extent cx="5615940" cy="0"/>
                <wp:effectExtent l="0" t="0" r="0" b="0"/>
                <wp:wrapNone/>
                <wp:docPr id="2" name="直线 43"/>
                <wp:cNvGraphicFramePr/>
                <a:graphic xmlns:a="http://schemas.openxmlformats.org/drawingml/2006/main">
                  <a:graphicData uri="http://schemas.microsoft.com/office/word/2010/wordprocessingShape">
                    <wps:wsp>
                      <wps:cNvCnPr/>
                      <wps:spPr>
                        <a:xfrm>
                          <a:off x="0" y="0"/>
                          <a:ext cx="5615940" cy="0"/>
                        </a:xfrm>
                        <a:prstGeom prst="line">
                          <a:avLst/>
                        </a:prstGeom>
                        <a:ln w="4445" cap="flat" cmpd="sng">
                          <a:solidFill>
                            <a:srgbClr val="000000"/>
                          </a:solidFill>
                          <a:prstDash val="solid"/>
                          <a:headEnd type="none" w="med" len="med"/>
                          <a:tailEnd type="none" w="med" len="med"/>
                        </a:ln>
                      </wps:spPr>
                      <wps:bodyPr upright="1"/>
                    </wps:wsp>
                  </a:graphicData>
                </a:graphic>
              </wp:anchor>
            </w:drawing>
          </mc:Choice>
          <mc:Fallback>
            <w:pict>
              <v:line id="直线 43" o:spid="_x0000_s1026" o:spt="20" style="position:absolute;left:0pt;margin-left:0pt;margin-top:30.95pt;height:0pt;width:442.2pt;z-index:251660288;mso-width-relative:page;mso-height-relative:page;" filled="f" stroked="t" coordsize="21600,21600" o:gfxdata="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KrxHtUA&#10;AAAGAQAADwAAAAAAAAABACAAAAAiAAAAZHJzL2Rvd25yZXYueG1sUEsBAhQAFAAAAAgAh07iQJK8&#10;VUvpAQAA3AMAAA4AAAAAAAAAAQAgAAAAJAEAAGRycy9lMm9Eb2MueG1sUEsFBgAAAAAGAAYAWQEA&#10;AH8FAAAAAA==&#10;">
                <v:fill on="f" focussize="0,0"/>
                <v:stroke weight="0.35pt" color="#000000" joinstyle="round"/>
                <v:imagedata o:title=""/>
                <o:lock v:ext="edit" aspectratio="f"/>
              </v:line>
            </w:pict>
          </mc:Fallback>
        </mc:AlternateContent>
      </w:r>
      <w:r>
        <w:rPr>
          <w:color w:val="000000"/>
          <w:sz w:val="28"/>
          <w:szCs w:val="28"/>
        </w:rPr>
        <w:t>湖南省农业农村厅办公室                 202</w:t>
      </w:r>
      <w:r>
        <w:rPr>
          <w:rFonts w:hint="eastAsia"/>
          <w:color w:val="000000"/>
          <w:sz w:val="28"/>
          <w:szCs w:val="28"/>
          <w:lang w:val="en-US" w:eastAsia="zh-CN"/>
        </w:rPr>
        <w:t>4</w:t>
      </w:r>
      <w:r>
        <w:rPr>
          <w:color w:val="000000"/>
          <w:sz w:val="28"/>
          <w:szCs w:val="28"/>
        </w:rPr>
        <w:t>年</w:t>
      </w:r>
      <w:r>
        <w:rPr>
          <w:rFonts w:hint="eastAsia"/>
          <w:color w:val="000000"/>
          <w:sz w:val="28"/>
          <w:szCs w:val="28"/>
          <w:lang w:val="en-US" w:eastAsia="zh-CN"/>
        </w:rPr>
        <w:t>12</w:t>
      </w:r>
      <w:r>
        <w:rPr>
          <w:color w:val="000000"/>
          <w:sz w:val="28"/>
          <w:szCs w:val="28"/>
        </w:rPr>
        <w:t>月</w:t>
      </w:r>
      <w:r>
        <w:rPr>
          <w:rFonts w:hint="eastAsia"/>
          <w:color w:val="000000"/>
          <w:sz w:val="28"/>
          <w:szCs w:val="28"/>
          <w:lang w:val="en-US" w:eastAsia="zh-CN"/>
        </w:rPr>
        <w:t>27</w:t>
      </w:r>
      <w:r>
        <w:rPr>
          <w:color w:val="000000"/>
          <w:sz w:val="28"/>
          <w:szCs w:val="28"/>
        </w:rPr>
        <w:t>日印发</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8" w:gutter="0"/>
      <w:cols w:space="425" w:num="1"/>
      <w:docGrid w:type="linesAndChar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19"/>
        <w:sz w:val="28"/>
        <w:szCs w:val="28"/>
      </w:rPr>
    </w:pPr>
    <w:r>
      <w:rPr>
        <w:rStyle w:val="19"/>
        <w:rFonts w:hint="eastAsia"/>
        <w:sz w:val="28"/>
        <w:szCs w:val="28"/>
      </w:rPr>
      <w:t>—</w:t>
    </w:r>
    <w:r>
      <w:rPr>
        <w:rStyle w:val="19"/>
        <w:sz w:val="28"/>
        <w:szCs w:val="28"/>
      </w:rPr>
      <w:fldChar w:fldCharType="begin"/>
    </w:r>
    <w:r>
      <w:rPr>
        <w:rStyle w:val="19"/>
        <w:sz w:val="28"/>
        <w:szCs w:val="28"/>
      </w:rPr>
      <w:instrText xml:space="preserve">PAGE  </w:instrText>
    </w:r>
    <w:r>
      <w:rPr>
        <w:rStyle w:val="19"/>
        <w:sz w:val="28"/>
        <w:szCs w:val="28"/>
      </w:rPr>
      <w:fldChar w:fldCharType="separate"/>
    </w:r>
    <w:r>
      <w:rPr>
        <w:rStyle w:val="19"/>
        <w:sz w:val="28"/>
        <w:szCs w:val="28"/>
      </w:rPr>
      <w:t>16</w:t>
    </w:r>
    <w:r>
      <w:rPr>
        <w:rStyle w:val="19"/>
        <w:sz w:val="28"/>
        <w:szCs w:val="28"/>
      </w:rPr>
      <w:fldChar w:fldCharType="end"/>
    </w:r>
    <w:r>
      <w:rPr>
        <w:rStyle w:val="19"/>
        <w:rFonts w:hint="eastAsia"/>
        <w:sz w:val="28"/>
        <w:szCs w:val="28"/>
      </w:rPr>
      <w:t>—</w:t>
    </w:r>
  </w:p>
  <w:p>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360"/>
      <w:rPr>
        <w:rStyle w:val="19"/>
      </w:rPr>
    </w:pPr>
    <w:r>
      <w:rPr>
        <w:rStyle w:val="19"/>
      </w:rPr>
      <w:fldChar w:fldCharType="begin"/>
    </w:r>
    <w:r>
      <w:rPr>
        <w:rStyle w:val="19"/>
      </w:rPr>
      <w:instrText xml:space="preserve">PAGE  </w:instrText>
    </w:r>
    <w:r>
      <w:rPr>
        <w:rStyle w:val="19"/>
      </w:rPr>
      <w:fldChar w:fldCharType="separate"/>
    </w:r>
    <w:r>
      <w:rPr>
        <w:rStyle w:val="19"/>
      </w:rPr>
      <w:t>2</w:t>
    </w:r>
    <w:r>
      <w:rPr>
        <w:rStyle w:val="19"/>
      </w:rP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7F1306"/>
    <w:multiLevelType w:val="singleLevel"/>
    <w:tmpl w:val="6B7F130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hyphenationZone w:val="360"/>
  <w:drawingGridHorizontalSpacing w:val="160"/>
  <w:drawingGridVerticalSpacing w:val="579"/>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94430282-896d-400f-a711-648ae6000efc"/>
  </w:docVars>
  <w:rsids>
    <w:rsidRoot w:val="00251ED1"/>
    <w:rsid w:val="00001D0D"/>
    <w:rsid w:val="00006C32"/>
    <w:rsid w:val="000070BB"/>
    <w:rsid w:val="00007908"/>
    <w:rsid w:val="00007A2A"/>
    <w:rsid w:val="00016E88"/>
    <w:rsid w:val="0004127B"/>
    <w:rsid w:val="00061E0A"/>
    <w:rsid w:val="000651D7"/>
    <w:rsid w:val="00081764"/>
    <w:rsid w:val="00090311"/>
    <w:rsid w:val="00091522"/>
    <w:rsid w:val="000C1B41"/>
    <w:rsid w:val="000D695F"/>
    <w:rsid w:val="000D7E84"/>
    <w:rsid w:val="000F43A1"/>
    <w:rsid w:val="00105649"/>
    <w:rsid w:val="0010709A"/>
    <w:rsid w:val="001268CD"/>
    <w:rsid w:val="00130888"/>
    <w:rsid w:val="00136317"/>
    <w:rsid w:val="00137536"/>
    <w:rsid w:val="001377BA"/>
    <w:rsid w:val="0015554F"/>
    <w:rsid w:val="0019261B"/>
    <w:rsid w:val="00197C2F"/>
    <w:rsid w:val="001B6E9A"/>
    <w:rsid w:val="001C22AE"/>
    <w:rsid w:val="001C7FE3"/>
    <w:rsid w:val="001D4AFD"/>
    <w:rsid w:val="001E56FA"/>
    <w:rsid w:val="001F7E44"/>
    <w:rsid w:val="0020637D"/>
    <w:rsid w:val="002121D0"/>
    <w:rsid w:val="00215AAE"/>
    <w:rsid w:val="002450AD"/>
    <w:rsid w:val="00251ED1"/>
    <w:rsid w:val="00292204"/>
    <w:rsid w:val="00293EAF"/>
    <w:rsid w:val="00293F32"/>
    <w:rsid w:val="002A3CA4"/>
    <w:rsid w:val="002C02DE"/>
    <w:rsid w:val="002C2BE9"/>
    <w:rsid w:val="002C6F29"/>
    <w:rsid w:val="002D5F5D"/>
    <w:rsid w:val="002E37FF"/>
    <w:rsid w:val="002F4908"/>
    <w:rsid w:val="002F4C64"/>
    <w:rsid w:val="002F5464"/>
    <w:rsid w:val="00331D5B"/>
    <w:rsid w:val="003326BD"/>
    <w:rsid w:val="00340785"/>
    <w:rsid w:val="00346980"/>
    <w:rsid w:val="00354E3D"/>
    <w:rsid w:val="00361BA3"/>
    <w:rsid w:val="003837BF"/>
    <w:rsid w:val="00390643"/>
    <w:rsid w:val="003A225C"/>
    <w:rsid w:val="003B61D2"/>
    <w:rsid w:val="003B68C1"/>
    <w:rsid w:val="003D1A2E"/>
    <w:rsid w:val="003D383D"/>
    <w:rsid w:val="003D4160"/>
    <w:rsid w:val="003E486D"/>
    <w:rsid w:val="003E6E7A"/>
    <w:rsid w:val="003F569A"/>
    <w:rsid w:val="003F6070"/>
    <w:rsid w:val="003F6FAE"/>
    <w:rsid w:val="003F7FA2"/>
    <w:rsid w:val="0041133A"/>
    <w:rsid w:val="0042011E"/>
    <w:rsid w:val="0042601C"/>
    <w:rsid w:val="00427D75"/>
    <w:rsid w:val="00447ED8"/>
    <w:rsid w:val="00457133"/>
    <w:rsid w:val="00460443"/>
    <w:rsid w:val="004645D7"/>
    <w:rsid w:val="00470C1E"/>
    <w:rsid w:val="0048169E"/>
    <w:rsid w:val="00491265"/>
    <w:rsid w:val="004A4F35"/>
    <w:rsid w:val="004B4FE9"/>
    <w:rsid w:val="004D0131"/>
    <w:rsid w:val="004E6FE0"/>
    <w:rsid w:val="00520B7F"/>
    <w:rsid w:val="00527AFA"/>
    <w:rsid w:val="005357A5"/>
    <w:rsid w:val="00547ADF"/>
    <w:rsid w:val="005513D6"/>
    <w:rsid w:val="0056004C"/>
    <w:rsid w:val="005630F8"/>
    <w:rsid w:val="00570F7F"/>
    <w:rsid w:val="00576DA7"/>
    <w:rsid w:val="005B16E7"/>
    <w:rsid w:val="005F0127"/>
    <w:rsid w:val="005F5909"/>
    <w:rsid w:val="00606BEA"/>
    <w:rsid w:val="00620A06"/>
    <w:rsid w:val="00623F5C"/>
    <w:rsid w:val="00635979"/>
    <w:rsid w:val="006867BE"/>
    <w:rsid w:val="00687D51"/>
    <w:rsid w:val="00690E4B"/>
    <w:rsid w:val="0069343F"/>
    <w:rsid w:val="00694AB2"/>
    <w:rsid w:val="006B0675"/>
    <w:rsid w:val="006B2A1B"/>
    <w:rsid w:val="006B44B2"/>
    <w:rsid w:val="006C1646"/>
    <w:rsid w:val="006C1E2E"/>
    <w:rsid w:val="006C285B"/>
    <w:rsid w:val="006C38AC"/>
    <w:rsid w:val="006C5097"/>
    <w:rsid w:val="006D159C"/>
    <w:rsid w:val="006D180D"/>
    <w:rsid w:val="006D57C6"/>
    <w:rsid w:val="006E5060"/>
    <w:rsid w:val="006E5C7E"/>
    <w:rsid w:val="006E6528"/>
    <w:rsid w:val="0070643A"/>
    <w:rsid w:val="00706782"/>
    <w:rsid w:val="00711091"/>
    <w:rsid w:val="007130C8"/>
    <w:rsid w:val="0073058D"/>
    <w:rsid w:val="00731FD8"/>
    <w:rsid w:val="00733089"/>
    <w:rsid w:val="0073790C"/>
    <w:rsid w:val="0074608C"/>
    <w:rsid w:val="0075390B"/>
    <w:rsid w:val="007568E8"/>
    <w:rsid w:val="00773DAA"/>
    <w:rsid w:val="00783D94"/>
    <w:rsid w:val="00791964"/>
    <w:rsid w:val="007B6D99"/>
    <w:rsid w:val="007D10F7"/>
    <w:rsid w:val="007F0A01"/>
    <w:rsid w:val="007F4C07"/>
    <w:rsid w:val="007F732C"/>
    <w:rsid w:val="0080406F"/>
    <w:rsid w:val="00804668"/>
    <w:rsid w:val="008053E0"/>
    <w:rsid w:val="00807200"/>
    <w:rsid w:val="00812925"/>
    <w:rsid w:val="0082118A"/>
    <w:rsid w:val="00821DD4"/>
    <w:rsid w:val="00822CC0"/>
    <w:rsid w:val="00823403"/>
    <w:rsid w:val="00825531"/>
    <w:rsid w:val="008413A8"/>
    <w:rsid w:val="008623AE"/>
    <w:rsid w:val="008801BC"/>
    <w:rsid w:val="0088031F"/>
    <w:rsid w:val="008849F7"/>
    <w:rsid w:val="00891B53"/>
    <w:rsid w:val="00894C34"/>
    <w:rsid w:val="008B6A32"/>
    <w:rsid w:val="008C17DA"/>
    <w:rsid w:val="008E7182"/>
    <w:rsid w:val="008F5E38"/>
    <w:rsid w:val="008F7A7F"/>
    <w:rsid w:val="00901CF8"/>
    <w:rsid w:val="0090777C"/>
    <w:rsid w:val="00917217"/>
    <w:rsid w:val="0093506A"/>
    <w:rsid w:val="00962E71"/>
    <w:rsid w:val="00964ADC"/>
    <w:rsid w:val="0097251B"/>
    <w:rsid w:val="00975EF5"/>
    <w:rsid w:val="00977FED"/>
    <w:rsid w:val="009A23D6"/>
    <w:rsid w:val="009A6FFC"/>
    <w:rsid w:val="009B48A8"/>
    <w:rsid w:val="009B6E9B"/>
    <w:rsid w:val="009C269B"/>
    <w:rsid w:val="009C4BA5"/>
    <w:rsid w:val="009F168E"/>
    <w:rsid w:val="00A0669D"/>
    <w:rsid w:val="00A32391"/>
    <w:rsid w:val="00A36FEC"/>
    <w:rsid w:val="00A43102"/>
    <w:rsid w:val="00A70CA8"/>
    <w:rsid w:val="00A75C4C"/>
    <w:rsid w:val="00A86E3A"/>
    <w:rsid w:val="00AA1884"/>
    <w:rsid w:val="00AA65DD"/>
    <w:rsid w:val="00AA771C"/>
    <w:rsid w:val="00AB6476"/>
    <w:rsid w:val="00AB7578"/>
    <w:rsid w:val="00AC42EF"/>
    <w:rsid w:val="00AD233F"/>
    <w:rsid w:val="00AD4BBF"/>
    <w:rsid w:val="00AD7358"/>
    <w:rsid w:val="00AE253A"/>
    <w:rsid w:val="00AF2506"/>
    <w:rsid w:val="00B01682"/>
    <w:rsid w:val="00B06F20"/>
    <w:rsid w:val="00B10150"/>
    <w:rsid w:val="00B147B6"/>
    <w:rsid w:val="00B15CE7"/>
    <w:rsid w:val="00B235FD"/>
    <w:rsid w:val="00B23B84"/>
    <w:rsid w:val="00B24AE3"/>
    <w:rsid w:val="00B32A8A"/>
    <w:rsid w:val="00B4037B"/>
    <w:rsid w:val="00B54BBB"/>
    <w:rsid w:val="00B624A4"/>
    <w:rsid w:val="00B663B8"/>
    <w:rsid w:val="00B6716C"/>
    <w:rsid w:val="00B674E4"/>
    <w:rsid w:val="00B718C5"/>
    <w:rsid w:val="00B84A53"/>
    <w:rsid w:val="00B8517D"/>
    <w:rsid w:val="00B94656"/>
    <w:rsid w:val="00BA0AD0"/>
    <w:rsid w:val="00BA7C79"/>
    <w:rsid w:val="00BB3DE4"/>
    <w:rsid w:val="00BB5CD8"/>
    <w:rsid w:val="00BB65B3"/>
    <w:rsid w:val="00BB6AD1"/>
    <w:rsid w:val="00BC0EE7"/>
    <w:rsid w:val="00BC2F50"/>
    <w:rsid w:val="00BC7E4F"/>
    <w:rsid w:val="00BD741D"/>
    <w:rsid w:val="00BD7E03"/>
    <w:rsid w:val="00BF0BFB"/>
    <w:rsid w:val="00BF1477"/>
    <w:rsid w:val="00C0213D"/>
    <w:rsid w:val="00C044E5"/>
    <w:rsid w:val="00C073A0"/>
    <w:rsid w:val="00C1755D"/>
    <w:rsid w:val="00C3421B"/>
    <w:rsid w:val="00C41B1C"/>
    <w:rsid w:val="00C47F6F"/>
    <w:rsid w:val="00C73CAE"/>
    <w:rsid w:val="00C8160B"/>
    <w:rsid w:val="00C86A8F"/>
    <w:rsid w:val="00C975DF"/>
    <w:rsid w:val="00CB5512"/>
    <w:rsid w:val="00CC3B15"/>
    <w:rsid w:val="00CC44D1"/>
    <w:rsid w:val="00CC6D71"/>
    <w:rsid w:val="00CF7FE3"/>
    <w:rsid w:val="00D01B31"/>
    <w:rsid w:val="00D05401"/>
    <w:rsid w:val="00D10CA4"/>
    <w:rsid w:val="00D117AE"/>
    <w:rsid w:val="00D20223"/>
    <w:rsid w:val="00D24718"/>
    <w:rsid w:val="00D508AA"/>
    <w:rsid w:val="00D66493"/>
    <w:rsid w:val="00D67BBB"/>
    <w:rsid w:val="00D7010C"/>
    <w:rsid w:val="00D7623D"/>
    <w:rsid w:val="00D7641E"/>
    <w:rsid w:val="00D82337"/>
    <w:rsid w:val="00D95331"/>
    <w:rsid w:val="00D96068"/>
    <w:rsid w:val="00DF1B80"/>
    <w:rsid w:val="00DF2AA3"/>
    <w:rsid w:val="00E06D71"/>
    <w:rsid w:val="00E3159F"/>
    <w:rsid w:val="00E3393A"/>
    <w:rsid w:val="00E56355"/>
    <w:rsid w:val="00E60CDB"/>
    <w:rsid w:val="00E720E8"/>
    <w:rsid w:val="00E845D7"/>
    <w:rsid w:val="00EB13FB"/>
    <w:rsid w:val="00EB3EA1"/>
    <w:rsid w:val="00EB73DF"/>
    <w:rsid w:val="00EC508F"/>
    <w:rsid w:val="00EC7DD2"/>
    <w:rsid w:val="00ED4053"/>
    <w:rsid w:val="00EF0B1C"/>
    <w:rsid w:val="00EF3047"/>
    <w:rsid w:val="00F07B36"/>
    <w:rsid w:val="00F4077E"/>
    <w:rsid w:val="00F451CB"/>
    <w:rsid w:val="00F472A5"/>
    <w:rsid w:val="00F509BB"/>
    <w:rsid w:val="00F567D6"/>
    <w:rsid w:val="00F7403A"/>
    <w:rsid w:val="00F8230A"/>
    <w:rsid w:val="00F946ED"/>
    <w:rsid w:val="00F96F2F"/>
    <w:rsid w:val="00FA113D"/>
    <w:rsid w:val="00FA6FE8"/>
    <w:rsid w:val="00FB4C0B"/>
    <w:rsid w:val="00FC3452"/>
    <w:rsid w:val="00FE59BB"/>
    <w:rsid w:val="12426723"/>
    <w:rsid w:val="6F77B8E7"/>
    <w:rsid w:val="7D7E2B3F"/>
    <w:rsid w:val="A5EF3AA9"/>
    <w:rsid w:val="BFA6641C"/>
    <w:rsid w:val="CFFB0C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9" w:lineRule="atLeas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0"/>
    <w:qFormat/>
    <w:uiPriority w:val="0"/>
    <w:pPr>
      <w:spacing w:line="700" w:lineRule="exact"/>
      <w:ind w:firstLine="0" w:firstLineChars="0"/>
      <w:jc w:val="center"/>
      <w:outlineLvl w:val="0"/>
    </w:pPr>
    <w:rPr>
      <w:rFonts w:eastAsia="方正小标宋简体"/>
      <w:bCs/>
      <w:kern w:val="44"/>
      <w:sz w:val="44"/>
      <w:szCs w:val="44"/>
    </w:rPr>
  </w:style>
  <w:style w:type="paragraph" w:styleId="3">
    <w:name w:val="heading 2"/>
    <w:basedOn w:val="1"/>
    <w:next w:val="1"/>
    <w:link w:val="33"/>
    <w:qFormat/>
    <w:uiPriority w:val="0"/>
    <w:pPr>
      <w:outlineLvl w:val="1"/>
    </w:pPr>
    <w:rPr>
      <w:rFonts w:eastAsia="黑体"/>
      <w:bCs/>
      <w:szCs w:val="32"/>
    </w:rPr>
  </w:style>
  <w:style w:type="paragraph" w:styleId="4">
    <w:name w:val="heading 3"/>
    <w:basedOn w:val="1"/>
    <w:next w:val="1"/>
    <w:link w:val="21"/>
    <w:qFormat/>
    <w:uiPriority w:val="0"/>
    <w:pPr>
      <w:outlineLvl w:val="2"/>
    </w:pPr>
    <w:rPr>
      <w:rFonts w:eastAsia="楷体_GB2312"/>
      <w:b/>
      <w:bCs/>
      <w:szCs w:val="32"/>
    </w:rPr>
  </w:style>
  <w:style w:type="paragraph" w:styleId="5">
    <w:name w:val="heading 4"/>
    <w:basedOn w:val="1"/>
    <w:next w:val="1"/>
    <w:link w:val="22"/>
    <w:qFormat/>
    <w:uiPriority w:val="0"/>
    <w:pPr>
      <w:spacing w:before="50" w:beforeLines="50" w:after="50" w:afterLines="50" w:line="500" w:lineRule="exact"/>
      <w:ind w:firstLine="0" w:firstLineChars="0"/>
      <w:jc w:val="center"/>
      <w:outlineLvl w:val="3"/>
    </w:pPr>
    <w:rPr>
      <w:rFonts w:eastAsia="方正小标宋简体"/>
      <w:bCs/>
      <w:sz w:val="36"/>
      <w:szCs w:val="28"/>
    </w:rPr>
  </w:style>
  <w:style w:type="paragraph" w:styleId="6">
    <w:name w:val="heading 7"/>
    <w:basedOn w:val="1"/>
    <w:next w:val="1"/>
    <w:qFormat/>
    <w:uiPriority w:val="0"/>
    <w:pPr>
      <w:keepNext/>
      <w:keepLines/>
      <w:spacing w:before="240" w:after="64" w:line="320" w:lineRule="atLeast"/>
      <w:outlineLvl w:val="6"/>
    </w:pPr>
    <w:rPr>
      <w:b/>
      <w:bCs/>
      <w:sz w:val="24"/>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7">
    <w:name w:val="Body Text 3"/>
    <w:basedOn w:val="1"/>
    <w:qFormat/>
    <w:uiPriority w:val="0"/>
    <w:pPr>
      <w:spacing w:after="120"/>
    </w:pPr>
    <w:rPr>
      <w:sz w:val="16"/>
      <w:szCs w:val="16"/>
    </w:rPr>
  </w:style>
  <w:style w:type="paragraph" w:styleId="8">
    <w:name w:val="Plain Text"/>
    <w:basedOn w:val="1"/>
    <w:link w:val="30"/>
    <w:qFormat/>
    <w:uiPriority w:val="0"/>
    <w:pPr>
      <w:adjustRightInd/>
      <w:snapToGrid/>
      <w:spacing w:line="240" w:lineRule="auto"/>
      <w:ind w:firstLine="0" w:firstLineChars="0"/>
    </w:pPr>
    <w:rPr>
      <w:rFonts w:ascii="宋体" w:hAnsi="Courier New" w:eastAsia="宋体" w:cs="Courier New"/>
      <w:sz w:val="21"/>
      <w:szCs w:val="21"/>
    </w:rPr>
  </w:style>
  <w:style w:type="paragraph" w:styleId="9">
    <w:name w:val="Date"/>
    <w:basedOn w:val="1"/>
    <w:next w:val="1"/>
    <w:qFormat/>
    <w:uiPriority w:val="0"/>
    <w:pPr>
      <w:ind w:left="100" w:leftChars="2500"/>
    </w:pPr>
  </w:style>
  <w:style w:type="paragraph" w:styleId="10">
    <w:name w:val="Body Text Indent 2"/>
    <w:basedOn w:val="1"/>
    <w:qFormat/>
    <w:uiPriority w:val="0"/>
    <w:pPr>
      <w:adjustRightInd/>
      <w:snapToGrid/>
      <w:spacing w:line="240" w:lineRule="auto"/>
      <w:ind w:firstLine="420"/>
    </w:pPr>
    <w:rPr>
      <w:rFonts w:ascii="仿宋_GB2312"/>
      <w:color w:val="FF6600"/>
      <w:sz w:val="21"/>
    </w:rPr>
  </w:style>
  <w:style w:type="paragraph" w:styleId="11">
    <w:name w:val="Balloon Text"/>
    <w:basedOn w:val="1"/>
    <w:link w:val="27"/>
    <w:semiHidden/>
    <w:qFormat/>
    <w:uiPriority w:val="0"/>
    <w:pPr>
      <w:adjustRightInd/>
      <w:snapToGrid/>
      <w:spacing w:line="240" w:lineRule="auto"/>
      <w:ind w:firstLine="0" w:firstLineChars="0"/>
    </w:pPr>
    <w:rPr>
      <w:rFonts w:eastAsia="宋体"/>
      <w:sz w:val="18"/>
      <w:szCs w:val="18"/>
    </w:rPr>
  </w:style>
  <w:style w:type="paragraph" w:styleId="12">
    <w:name w:val="footer"/>
    <w:basedOn w:val="1"/>
    <w:link w:val="23"/>
    <w:qFormat/>
    <w:uiPriority w:val="0"/>
    <w:pPr>
      <w:tabs>
        <w:tab w:val="center" w:pos="4153"/>
        <w:tab w:val="right" w:pos="8306"/>
      </w:tabs>
      <w:snapToGrid w:val="0"/>
      <w:spacing w:line="240" w:lineRule="atLeast"/>
      <w:jc w:val="left"/>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4">
    <w:name w:val="HTML Preformatted"/>
    <w:basedOn w:val="1"/>
    <w:link w:val="29"/>
    <w:semiHidden/>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ind w:firstLine="0" w:firstLineChars="0"/>
      <w:jc w:val="left"/>
    </w:pPr>
    <w:rPr>
      <w:rFonts w:ascii="宋体" w:hAnsi="宋体" w:eastAsia="宋体" w:cs="宋体"/>
      <w:kern w:val="0"/>
      <w:sz w:val="24"/>
    </w:rPr>
  </w:style>
  <w:style w:type="table" w:styleId="16">
    <w:name w:val="Table Grid"/>
    <w:basedOn w:val="15"/>
    <w:qFormat/>
    <w:uiPriority w:val="0"/>
    <w:pPr>
      <w:widowControl w:val="0"/>
      <w:adjustRightInd w:val="0"/>
      <w:snapToGrid w:val="0"/>
      <w:spacing w:line="590" w:lineRule="atLeast"/>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page number"/>
    <w:basedOn w:val="17"/>
    <w:qFormat/>
    <w:uiPriority w:val="0"/>
  </w:style>
  <w:style w:type="character" w:customStyle="1" w:styleId="20">
    <w:name w:val="标题 1 Char"/>
    <w:link w:val="2"/>
    <w:qFormat/>
    <w:locked/>
    <w:uiPriority w:val="0"/>
    <w:rPr>
      <w:rFonts w:eastAsia="方正小标宋简体"/>
      <w:bCs/>
      <w:kern w:val="44"/>
      <w:sz w:val="44"/>
      <w:szCs w:val="44"/>
    </w:rPr>
  </w:style>
  <w:style w:type="character" w:customStyle="1" w:styleId="21">
    <w:name w:val="标题 3 Char"/>
    <w:link w:val="4"/>
    <w:qFormat/>
    <w:uiPriority w:val="0"/>
    <w:rPr>
      <w:rFonts w:eastAsia="楷体_GB2312"/>
      <w:b/>
      <w:bCs/>
      <w:kern w:val="2"/>
      <w:sz w:val="32"/>
      <w:szCs w:val="32"/>
    </w:rPr>
  </w:style>
  <w:style w:type="character" w:customStyle="1" w:styleId="22">
    <w:name w:val="标题 4 Char1"/>
    <w:link w:val="5"/>
    <w:qFormat/>
    <w:locked/>
    <w:uiPriority w:val="0"/>
    <w:rPr>
      <w:rFonts w:eastAsia="方正小标宋简体"/>
      <w:bCs/>
      <w:kern w:val="2"/>
      <w:sz w:val="36"/>
      <w:szCs w:val="28"/>
    </w:rPr>
  </w:style>
  <w:style w:type="character" w:customStyle="1" w:styleId="23">
    <w:name w:val="页脚 Char"/>
    <w:link w:val="12"/>
    <w:semiHidden/>
    <w:qFormat/>
    <w:uiPriority w:val="0"/>
    <w:rPr>
      <w:rFonts w:eastAsia="仿宋_GB2312"/>
      <w:kern w:val="2"/>
      <w:sz w:val="18"/>
      <w:szCs w:val="18"/>
      <w:lang w:val="en-US" w:eastAsia="zh-CN" w:bidi="ar-SA"/>
    </w:rPr>
  </w:style>
  <w:style w:type="character" w:customStyle="1" w:styleId="24">
    <w:name w:val="页眉 Char"/>
    <w:link w:val="13"/>
    <w:semiHidden/>
    <w:qFormat/>
    <w:uiPriority w:val="0"/>
    <w:rPr>
      <w:rFonts w:eastAsia="仿宋_GB2312"/>
      <w:kern w:val="2"/>
      <w:sz w:val="18"/>
      <w:szCs w:val="18"/>
      <w:lang w:val="en-US" w:eastAsia="zh-CN" w:bidi="ar-SA"/>
    </w:rPr>
  </w:style>
  <w:style w:type="paragraph" w:customStyle="1" w:styleId="25">
    <w:name w:val="表头"/>
    <w:basedOn w:val="1"/>
    <w:qFormat/>
    <w:uiPriority w:val="0"/>
    <w:pPr>
      <w:spacing w:before="80" w:after="80" w:line="280" w:lineRule="atLeast"/>
      <w:ind w:firstLine="0" w:firstLineChars="0"/>
      <w:jc w:val="center"/>
    </w:pPr>
    <w:rPr>
      <w:rFonts w:eastAsia="黑体" w:cs="宋体"/>
      <w:sz w:val="24"/>
    </w:rPr>
  </w:style>
  <w:style w:type="paragraph" w:customStyle="1" w:styleId="26">
    <w:name w:val="表内文字"/>
    <w:basedOn w:val="1"/>
    <w:qFormat/>
    <w:uiPriority w:val="0"/>
    <w:pPr>
      <w:spacing w:before="60" w:after="60" w:line="280" w:lineRule="atLeast"/>
      <w:ind w:firstLine="0" w:firstLineChars="0"/>
    </w:pPr>
    <w:rPr>
      <w:sz w:val="24"/>
    </w:rPr>
  </w:style>
  <w:style w:type="character" w:customStyle="1" w:styleId="27">
    <w:name w:val="批注框文本 Char"/>
    <w:link w:val="11"/>
    <w:semiHidden/>
    <w:qFormat/>
    <w:uiPriority w:val="0"/>
    <w:rPr>
      <w:rFonts w:eastAsia="宋体"/>
      <w:kern w:val="2"/>
      <w:sz w:val="18"/>
      <w:szCs w:val="18"/>
      <w:lang w:val="en-US" w:eastAsia="zh-CN" w:bidi="ar-SA"/>
    </w:rPr>
  </w:style>
  <w:style w:type="paragraph" w:customStyle="1" w:styleId="28">
    <w:name w:val="p0"/>
    <w:basedOn w:val="1"/>
    <w:qFormat/>
    <w:uiPriority w:val="0"/>
    <w:pPr>
      <w:widowControl/>
      <w:adjustRightInd/>
      <w:snapToGrid/>
      <w:spacing w:line="240" w:lineRule="auto"/>
      <w:ind w:firstLine="0" w:firstLineChars="0"/>
    </w:pPr>
    <w:rPr>
      <w:rFonts w:eastAsia="宋体"/>
      <w:kern w:val="0"/>
      <w:sz w:val="21"/>
      <w:szCs w:val="21"/>
    </w:rPr>
  </w:style>
  <w:style w:type="character" w:customStyle="1" w:styleId="29">
    <w:name w:val="HTML 预设格式 Char"/>
    <w:link w:val="14"/>
    <w:semiHidden/>
    <w:qFormat/>
    <w:locked/>
    <w:uiPriority w:val="0"/>
    <w:rPr>
      <w:rFonts w:ascii="宋体" w:hAnsi="宋体" w:eastAsia="宋体" w:cs="宋体"/>
      <w:sz w:val="24"/>
      <w:szCs w:val="24"/>
      <w:lang w:val="en-US" w:eastAsia="zh-CN" w:bidi="ar-SA"/>
    </w:rPr>
  </w:style>
  <w:style w:type="character" w:customStyle="1" w:styleId="30">
    <w:name w:val="纯文本 Char"/>
    <w:link w:val="8"/>
    <w:qFormat/>
    <w:locked/>
    <w:uiPriority w:val="0"/>
    <w:rPr>
      <w:rFonts w:ascii="宋体" w:hAnsi="Courier New" w:eastAsia="宋体" w:cs="Courier New"/>
      <w:kern w:val="2"/>
      <w:sz w:val="21"/>
      <w:szCs w:val="21"/>
      <w:lang w:val="en-US" w:eastAsia="zh-CN" w:bidi="ar-SA"/>
    </w:rPr>
  </w:style>
  <w:style w:type="paragraph" w:customStyle="1" w:styleId="31">
    <w:name w:val="custom_unionstyle"/>
    <w:basedOn w:val="1"/>
    <w:qFormat/>
    <w:uiPriority w:val="0"/>
    <w:pPr>
      <w:widowControl/>
      <w:adjustRightInd/>
      <w:snapToGrid/>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32">
    <w:name w:val="15"/>
    <w:qFormat/>
    <w:uiPriority w:val="0"/>
    <w:rPr>
      <w:rFonts w:hint="default" w:ascii="Times New Roman" w:hAnsi="Times New Roman" w:cs="Times New Roman"/>
      <w:color w:val="0000FF"/>
      <w:u w:val="single"/>
    </w:rPr>
  </w:style>
  <w:style w:type="character" w:customStyle="1" w:styleId="33">
    <w:name w:val="标题 2 Char"/>
    <w:link w:val="3"/>
    <w:qFormat/>
    <w:uiPriority w:val="0"/>
    <w:rPr>
      <w:rFonts w:eastAsia="黑体"/>
      <w:bCs/>
      <w:kern w:val="2"/>
      <w:sz w:val="32"/>
      <w:szCs w:val="32"/>
    </w:rPr>
  </w:style>
  <w:style w:type="character" w:customStyle="1" w:styleId="34">
    <w:name w:val="标题 4 Char"/>
    <w:qFormat/>
    <w:uiPriority w:val="0"/>
    <w:rPr>
      <w:rFonts w:eastAsia="仿宋_GB2312"/>
      <w:bCs/>
      <w:kern w:val="2"/>
      <w:sz w:val="32"/>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7020</Words>
  <Characters>7176</Characters>
  <Lines>53</Lines>
  <Paragraphs>15</Paragraphs>
  <TotalTime>1</TotalTime>
  <ScaleCrop>false</ScaleCrop>
  <LinksUpToDate>false</LinksUpToDate>
  <CharactersWithSpaces>7368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2022-03-25T10:25:00Z</dcterms:created>
  <dc:creator>walkinnet</dc:creator>
  <cp:lastModifiedBy>柳丁</cp:lastModifiedBy>
  <cp:lastPrinted>2018-03-06T10:10:00Z</cp:lastPrinted>
  <dcterms:modified xsi:type="dcterms:W3CDTF">2025-01-02T07:46:41Z</dcterms:modified>
  <dc:title>湘农业函〔2014〕  号</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F7731A2B0AF34903A13631836FC34EDC</vt:lpwstr>
  </property>
</Properties>
</file>